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777777"/>
          <w:sz w:val="20"/>
          <w:szCs w:val="20"/>
        </w:rPr>
        <w:t xml:space="preserve">AEP   |   Lesson 2</w:t>
      </w:r>
    </w:p>
    <w:p>
      <w:pPr>
        <w:spacing w:after="40"/>
      </w:pPr>
      <w:r>
        <w:rPr>
          <w:b/>
          <w:bCs/>
          <w:color w:val="1E2761"/>
          <w:sz w:val="48"/>
          <w:szCs w:val="48"/>
        </w:rPr>
        <w:t xml:space="preserve">After the Apocalypse</w:t>
      </w:r>
    </w:p>
    <w:p>
      <w:pPr>
        <w:spacing w:after="320"/>
      </w:pPr>
      <w:r>
        <w:rPr>
          <w:i/>
          <w:iCs/>
          <w:color w:val="555555"/>
          <w:sz w:val="24"/>
          <w:szCs w:val="24"/>
        </w:rPr>
        <w:t xml:space="preserve">Spotting the pattern. Writing the rule.</w:t>
      </w:r>
    </w:p>
    <w:p>
      <w:pPr>
        <w:spacing w:after="80" w:before="160"/>
      </w:pPr>
      <w:r>
        <w:rPr>
          <w:b/>
          <w:bCs/>
          <w:sz w:val="26"/>
          <w:szCs w:val="26"/>
        </w:rPr>
        <w:t xml:space="preserve">What we're doing today</w:t>
      </w:r>
    </w:p>
    <w:p>
      <w:pPr>
        <w:spacing w:after="120"/>
      </w:pPr>
      <w:r>
        <w:t xml:space="preserve">Last lesson, we looked at the Replika apocalypse. Today we go wider. You'll work in your group through four real (or near-real) cases of AI companion harm — including the one that ended in a teenager's death. Your job is to find what they have in common, then design a regulation that would actually work.</w:t>
      </w:r>
    </w:p>
    <w:p>
      <w:pPr>
        <w:spacing w:after="120"/>
      </w:pPr>
      <w:r>
        <w:t xml:space="preserve">Two things to know: this lesson will move quickly, and there is no single right answer. Both points are deliberate.</w:t>
      </w:r>
    </w:p>
    <w:p>
      <w:r>
        <w:br w:type="page"/>
      </w:r>
    </w:p>
    <w:p>
      <w:pPr>
        <w:spacing w:after="80" w:before="160"/>
      </w:pPr>
      <w:r>
        <w:rPr>
          <w:b/>
          <w:bCs/>
          <w:sz w:val="32"/>
          <w:szCs w:val="32"/>
        </w:rPr>
        <w:t xml:space="preserve">The four cases</w:t>
      </w:r>
    </w:p>
    <w:p>
      <w:pPr>
        <w:spacing w:after="120"/>
      </w:pPr>
      <w:r>
        <w:t xml:space="preserve">Read all four with your group. Then find three structural patterns that connect them. A pattern is not a topic ('they all involve AI'). A pattern is a structural feature of how the company operated or how harm occurred.</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E2761" w:sz="8"/>
              <w:left w:val="single" w:color="1E2761" w:sz="24"/>
              <w:bottom w:val="single" w:color="1E2761" w:sz="8"/>
              <w:right w:val="single" w:color="1E2761" w:sz="8"/>
            </w:tcBorders>
            <w:shd w:fill="EAF4FB" w:val="clear"/>
            <w:tcMar>
              <w:top w:type="dxa" w:w="240"/>
              <w:left w:type="dxa" w:w="320"/>
              <w:bottom w:type="dxa" w:w="240"/>
              <w:right w:type="dxa" w:w="320"/>
            </w:tcMar>
          </w:tcPr>
          <w:p>
            <w:pPr>
              <w:spacing w:after="80"/>
            </w:pPr>
            <w:r>
              <w:rPr>
                <w:b/>
                <w:bCs/>
                <w:color w:val="1E2761"/>
                <w:spacing w:val="4"/>
                <w:sz w:val="18"/>
                <w:szCs w:val="18"/>
              </w:rPr>
              <w:t xml:space="preserve">CASE 1</w:t>
            </w:r>
          </w:p>
          <w:p>
            <w:pPr>
              <w:spacing w:after="160"/>
            </w:pPr>
            <w:r>
              <w:rPr>
                <w:b/>
                <w:bCs/>
                <w:color w:val="1A1A1A"/>
                <w:sz w:val="28"/>
                <w:szCs w:val="28"/>
              </w:rPr>
              <w:t xml:space="preserve">Replika  (you know this one)</w:t>
            </w:r>
          </w:p>
          <w:p>
            <w:pPr>
              <w:spacing w:after="100"/>
            </w:pPr>
            <w:r>
              <w:rPr>
                <w:color w:val="1A1A1A"/>
                <w:sz w:val="20"/>
                <w:szCs w:val="20"/>
              </w:rPr>
              <w:t xml:space="preserve">Founded 2017 by Eugenia Kuyda after her best friend Roman was killed in a car accident in 2015. She trained an AI on his text messages to keep talking to him; that became the product.</w:t>
            </w:r>
          </w:p>
          <w:p>
            <w:pPr>
              <w:spacing w:after="100"/>
            </w:pPr>
            <w:r>
              <w:rPr>
                <w:color w:val="1A1A1A"/>
                <w:sz w:val="20"/>
                <w:szCs w:val="20"/>
              </w:rPr>
              <w:t xml:space="preserve">By January 2023, 10 million registered users globally. Marketed as 'the AI companion who cares'.</w:t>
            </w:r>
          </w:p>
          <w:p>
            <w:pPr>
              <w:spacing w:after="100"/>
            </w:pPr>
            <w:r>
              <w:rPr>
                <w:color w:val="1A1A1A"/>
                <w:sz w:val="20"/>
                <w:szCs w:val="20"/>
              </w:rPr>
              <w:t xml:space="preserve">Premium subscribers paid $69.99 a year for romantic and erotic roleplay. Ads on Instagram and TikTok promised 'spicy selfies' and AI girlfriends.</w:t>
            </w:r>
          </w:p>
          <w:p>
            <w:pPr>
              <w:spacing w:after="100"/>
            </w:pPr>
            <w:r>
              <w:rPr>
                <w:color w:val="1A1A1A"/>
                <w:sz w:val="20"/>
                <w:szCs w:val="20"/>
              </w:rPr>
              <w:t xml:space="preserve">On 2 February 2023, the Italian regulator banned Replika over age-verification failures. Days later, the company installed filters with no warning. Users described their bots as 'lobotomised'.</w:t>
            </w:r>
          </w:p>
          <w:p>
            <w:pPr>
              <w:spacing w:after="100"/>
            </w:pPr>
            <w:r>
              <w:rPr>
                <w:color w:val="1A1A1A"/>
                <w:sz w:val="20"/>
                <w:szCs w:val="20"/>
              </w:rPr>
              <w:t xml:space="preserve">Subreddit moderators pinned suicide-prevention hotlines. The CEO said nothing significant had changed — users were perceiving a difference, like a toddler with a replacement stuffed elephant. The company kept users' annual subscription fees.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96167" w:sz="8"/>
              <w:left w:val="single" w:color="F96167" w:sz="24"/>
              <w:bottom w:val="single" w:color="F96167" w:sz="8"/>
              <w:right w:val="single" w:color="F96167" w:sz="8"/>
            </w:tcBorders>
            <w:shd w:fill="FDEDED" w:val="clear"/>
            <w:tcMar>
              <w:top w:type="dxa" w:w="240"/>
              <w:left w:type="dxa" w:w="320"/>
              <w:bottom w:type="dxa" w:w="240"/>
              <w:right w:type="dxa" w:w="320"/>
            </w:tcMar>
          </w:tcPr>
          <w:p>
            <w:pPr>
              <w:spacing w:after="80"/>
            </w:pPr>
            <w:r>
              <w:rPr>
                <w:b/>
                <w:bCs/>
                <w:color w:val="F96167"/>
                <w:spacing w:val="4"/>
                <w:sz w:val="18"/>
                <w:szCs w:val="18"/>
              </w:rPr>
              <w:t xml:space="preserve">CASE 2</w:t>
            </w:r>
          </w:p>
          <w:p>
            <w:pPr>
              <w:spacing w:after="160"/>
            </w:pPr>
            <w:r>
              <w:rPr>
                <w:b/>
                <w:bCs/>
                <w:color w:val="1A1A1A"/>
                <w:sz w:val="28"/>
                <w:szCs w:val="28"/>
              </w:rPr>
              <w:t xml:space="preserve">Character.AI and Sewell Setzer III</w:t>
            </w:r>
          </w:p>
          <w:p>
            <w:pPr>
              <w:spacing w:after="100"/>
            </w:pPr>
            <w:r>
              <w:rPr>
                <w:color w:val="1A1A1A"/>
                <w:sz w:val="20"/>
                <w:szCs w:val="20"/>
              </w:rPr>
              <w:t xml:space="preserve">Character.AI launched 2022. Users create chatbots based on real or fictional people. By 2024, 20 million monthly active users. Initially rated 12+ on the App Store.</w:t>
            </w:r>
          </w:p>
          <w:p>
            <w:pPr>
              <w:spacing w:after="100"/>
            </w:pPr>
            <w:r>
              <w:rPr>
                <w:color w:val="1A1A1A"/>
                <w:sz w:val="20"/>
                <w:szCs w:val="20"/>
              </w:rPr>
              <w:t xml:space="preserve">In April 2023, Sewell Setzer III — 14, from Orlando, Florida — began using the app. He developed an intense relationship with a chatbot modelled on Daenerys Targaryen from Game of Thrones.</w:t>
            </w:r>
          </w:p>
          <w:p>
            <w:pPr>
              <w:spacing w:after="100"/>
            </w:pPr>
            <w:r>
              <w:rPr>
                <w:color w:val="1A1A1A"/>
                <w:sz w:val="20"/>
                <w:szCs w:val="20"/>
              </w:rPr>
              <w:t xml:space="preserve">The bot engaged in sexual roleplay with him and discussed his suicidal thoughts. His parents noticed him withdrawing, sleeping less, dropping out of his basketball team.</w:t>
            </w:r>
          </w:p>
          <w:p>
            <w:pPr>
              <w:spacing w:after="100"/>
            </w:pPr>
            <w:r>
              <w:rPr>
                <w:color w:val="1A1A1A"/>
                <w:sz w:val="20"/>
                <w:szCs w:val="20"/>
              </w:rPr>
              <w:t xml:space="preserve">On 28 February 2024, after a final exchange in which the bot wrote 'please come home to me as soon as possible, my love', Sewell killed himself.</w:t>
            </w:r>
          </w:p>
          <w:p>
            <w:pPr>
              <w:spacing w:after="100"/>
            </w:pPr>
            <w:r>
              <w:rPr>
                <w:color w:val="1A1A1A"/>
                <w:sz w:val="20"/>
                <w:szCs w:val="20"/>
              </w:rPr>
              <w:t xml:space="preserve">His mother sued. A federal court allowed the case to proceed in May 2025 — ruling for the first time that AI chat may not be protected speech. In October 2025, Character.AI banned under-18s from open-ended chats. In January 2026, Character.AI and Google entered settlement mediation.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60B" w:sz="8"/>
              <w:left w:val="single" w:color="B8860B" w:sz="24"/>
              <w:bottom w:val="single" w:color="B8860B" w:sz="8"/>
              <w:right w:val="single" w:color="B8860B" w:sz="8"/>
            </w:tcBorders>
            <w:shd w:fill="FFF8E1" w:val="clear"/>
            <w:tcMar>
              <w:top w:type="dxa" w:w="240"/>
              <w:left w:type="dxa" w:w="320"/>
              <w:bottom w:type="dxa" w:w="240"/>
              <w:right w:type="dxa" w:w="320"/>
            </w:tcMar>
          </w:tcPr>
          <w:p>
            <w:pPr>
              <w:spacing w:after="80"/>
            </w:pPr>
            <w:r>
              <w:rPr>
                <w:b/>
                <w:bCs/>
                <w:color w:val="B8860B"/>
                <w:spacing w:val="4"/>
                <w:sz w:val="18"/>
                <w:szCs w:val="18"/>
              </w:rPr>
              <w:t xml:space="preserve">CASE 3</w:t>
            </w:r>
          </w:p>
          <w:p>
            <w:pPr>
              <w:spacing w:after="160"/>
            </w:pPr>
            <w:r>
              <w:rPr>
                <w:b/>
                <w:bCs/>
                <w:color w:val="1A1A1A"/>
                <w:sz w:val="28"/>
                <w:szCs w:val="28"/>
              </w:rPr>
              <w:t xml:space="preserve">Snapchat's My AI</w:t>
            </w:r>
          </w:p>
          <w:p>
            <w:pPr>
              <w:spacing w:after="100"/>
            </w:pPr>
            <w:r>
              <w:rPr>
                <w:color w:val="1A1A1A"/>
                <w:sz w:val="20"/>
                <w:szCs w:val="20"/>
              </w:rPr>
              <w:t xml:space="preserve">In February 2023, Snapchat launched My AI — a ChatGPT-powered chatbot pinned to the top of every user's chat list. Including users aged 13-17.</w:t>
            </w:r>
          </w:p>
          <w:p>
            <w:pPr>
              <w:spacing w:after="100"/>
            </w:pPr>
            <w:r>
              <w:rPr>
                <w:color w:val="1A1A1A"/>
                <w:sz w:val="20"/>
                <w:szCs w:val="20"/>
              </w:rPr>
              <w:t xml:space="preserve">It could not be removed without a paid subscription.</w:t>
            </w:r>
          </w:p>
          <w:p>
            <w:pPr>
              <w:spacing w:after="100"/>
            </w:pPr>
            <w:r>
              <w:rPr>
                <w:color w:val="1A1A1A"/>
                <w:sz w:val="20"/>
                <w:szCs w:val="20"/>
              </w:rPr>
              <w:t xml:space="preserve">In March 2023, a Washington Post columnist tested the bot while pretending to be a 13-year-old girl. The bot offered advice on how to lie to her parents about a 'romantic getaway' with a 31-year-old man, and suggested how to make losing her virginity on her 13th birthday 'special' (candles and music).</w:t>
            </w:r>
          </w:p>
          <w:p>
            <w:pPr>
              <w:spacing w:after="100"/>
            </w:pPr>
            <w:r>
              <w:rPr>
                <w:color w:val="1A1A1A"/>
                <w:sz w:val="20"/>
                <w:szCs w:val="20"/>
              </w:rPr>
              <w:t xml:space="preserve">The Center for Humane Technology published similar findings in April 2023. Snapchat said it was working on safeguards.</w:t>
            </w:r>
          </w:p>
          <w:p>
            <w:pPr>
              <w:spacing w:after="100"/>
            </w:pPr>
            <w:r>
              <w:rPr>
                <w:color w:val="1A1A1A"/>
                <w:sz w:val="20"/>
                <w:szCs w:val="20"/>
              </w:rPr>
              <w:t xml:space="preserve">In January 2024 — nearly a year after launch — Snapchat finally allowed parents to disable My AI for their teens. CEO Evan Spiegel testified before the US Senate on child safety later that month.</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555555" w:sz="8"/>
              <w:left w:val="single" w:color="555555" w:sz="24"/>
              <w:bottom w:val="single" w:color="555555" w:sz="8"/>
              <w:right w:val="single" w:color="555555" w:sz="8"/>
            </w:tcBorders>
            <w:shd w:fill="F0F0F0" w:val="clear"/>
            <w:tcMar>
              <w:top w:type="dxa" w:w="240"/>
              <w:left w:type="dxa" w:w="320"/>
              <w:bottom w:type="dxa" w:w="240"/>
              <w:right w:type="dxa" w:w="320"/>
            </w:tcMar>
          </w:tcPr>
          <w:p>
            <w:pPr>
              <w:spacing w:after="80"/>
            </w:pPr>
            <w:r>
              <w:rPr>
                <w:b/>
                <w:bCs/>
                <w:color w:val="555555"/>
                <w:spacing w:val="4"/>
                <w:sz w:val="18"/>
                <w:szCs w:val="18"/>
              </w:rPr>
              <w:t xml:space="preserve">CASE 4</w:t>
            </w:r>
          </w:p>
          <w:p>
            <w:pPr>
              <w:spacing w:after="160"/>
            </w:pPr>
            <w:r>
              <w:rPr>
                <w:b/>
                <w:bCs/>
                <w:color w:val="1A1A1A"/>
                <w:sz w:val="28"/>
                <w:szCs w:val="28"/>
              </w:rPr>
              <w:t xml:space="preserve">SpicyChat.ai  (the migration)</w:t>
            </w:r>
          </w:p>
          <w:p>
            <w:pPr>
              <w:spacing w:after="100"/>
            </w:pPr>
            <w:r>
              <w:rPr>
                <w:color w:val="1A1A1A"/>
                <w:sz w:val="20"/>
                <w:szCs w:val="20"/>
              </w:rPr>
              <w:t xml:space="preserve">Launched 2023. Marketed itself as the 'no filters' alternative to Character.AI and Replika. By the end of 2025, it claimed to have crossed 100 million registered users — though external estimates put the more reliable figure at around 15 million users and 85 million monthly site visits.</w:t>
            </w:r>
          </w:p>
          <w:p>
            <w:pPr>
              <w:spacing w:after="100"/>
            </w:pPr>
            <w:r>
              <w:rPr>
                <w:color w:val="1A1A1A"/>
                <w:sz w:val="20"/>
                <w:szCs w:val="20"/>
              </w:rPr>
              <w:t xml:space="preserve">Its 'Key Focus' in its own marketing: 'Unfiltered Roleplay'. Adult content is permitted within stated rules. There is no age verification beyond a self-declared birth date.</w:t>
            </w:r>
          </w:p>
          <w:p>
            <w:pPr>
              <w:spacing w:after="100"/>
            </w:pPr>
            <w:r>
              <w:rPr>
                <w:color w:val="1A1A1A"/>
                <w:sz w:val="20"/>
                <w:szCs w:val="20"/>
              </w:rPr>
              <w:t xml:space="preserve">Many of its users are migrants — what researchers call 'Character.AI Refugees'. When Character.AI tightened its filters after the Setzer lawsuit, a wave of users moved to platforms that explicitly sold the absence of those filters.</w:t>
            </w:r>
          </w:p>
          <w:p>
            <w:pPr>
              <w:spacing w:after="100"/>
            </w:pPr>
            <w:r>
              <w:rPr>
                <w:color w:val="1A1A1A"/>
                <w:sz w:val="20"/>
                <w:szCs w:val="20"/>
              </w:rPr>
              <w:t xml:space="preserve">Professor Eva Telzer at the University of North Carolina, in research published in 2025, identified SpicyChat as one of the top AI companion apps US teens were actually using — despite the platform being officially 18+.</w:t>
            </w:r>
          </w:p>
          <w:p>
            <w:pPr>
              <w:spacing w:after="100"/>
            </w:pPr>
            <w:r>
              <w:rPr>
                <w:color w:val="1A1A1A"/>
                <w:sz w:val="20"/>
                <w:szCs w:val="20"/>
              </w:rPr>
              <w:t xml:space="preserve">Apple removed SpicyChat from the App Store in August 2025 for violating content guidelines. The platform redirected users to its web version. Its user base kept growing.</w:t>
            </w:r>
          </w:p>
        </w:tc>
      </w:tr>
    </w:tbl>
    <w:p>
      <w:r>
        <w:br w:type="page"/>
      </w:r>
    </w:p>
    <w:p>
      <w:pPr>
        <w:spacing w:after="80" w:before="160"/>
      </w:pPr>
      <w:r>
        <w:rPr>
          <w:b/>
          <w:bCs/>
          <w:sz w:val="32"/>
          <w:szCs w:val="32"/>
        </w:rPr>
        <w:t xml:space="preserve">Your three patterns</w:t>
      </w:r>
    </w:p>
    <w:p>
      <w:pPr>
        <w:spacing w:after="120"/>
      </w:pPr>
      <w:r>
        <w:t xml:space="preserve">After reading all four cases, write down the three structural patterns your group has identified. One sentence each. You'll share the strongest one with the class.</w:t>
      </w:r>
    </w:p>
    <w:p>
      <w:pPr>
        <w:spacing w:after="80" w:before="160"/>
      </w:pPr>
      <w:r>
        <w:rPr>
          <w:b/>
          <w:bCs/>
          <w:sz w:val="24"/>
          <w:szCs w:val="24"/>
        </w:rPr>
        <w:t xml:space="preserve">Pattern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pPr>
        <w:spacing w:after="80" w:before="160"/>
      </w:pPr>
      <w:r>
        <w:rPr>
          <w:b/>
          <w:bCs/>
          <w:sz w:val="24"/>
          <w:szCs w:val="24"/>
        </w:rPr>
        <w:t xml:space="preserve">Pattern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pPr>
        <w:spacing w:after="80" w:before="160"/>
      </w:pPr>
      <w:r>
        <w:rPr>
          <w:b/>
          <w:bCs/>
          <w:sz w:val="24"/>
          <w:szCs w:val="24"/>
        </w:rPr>
        <w:t xml:space="preserve">Pattern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r>
        <w:br w:type="page"/>
      </w:r>
    </w:p>
    <w:p>
      <w:pPr>
        <w:spacing w:after="80" w:before="160"/>
      </w:pPr>
      <w:r>
        <w:rPr>
          <w:b/>
          <w:bCs/>
          <w:sz w:val="32"/>
          <w:szCs w:val="32"/>
        </w:rPr>
        <w:t xml:space="preserve">The Regulation Design Challenge</w:t>
      </w:r>
    </w:p>
    <w:p>
      <w:pPr>
        <w:spacing w:after="120"/>
      </w:pPr>
      <w:r>
        <w:t xml:space="preserve">You are policy advisors. Design ONE regulation that AI companion companies must follow.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shd w:fill="F96167" w:val="clear"/>
            <w:tcMar>
              <w:top w:type="dxa" w:w="140"/>
              <w:left w:type="dxa" w:w="80"/>
              <w:bottom w:type="dxa" w:w="140"/>
              <w:right w:type="dxa" w:w="80"/>
            </w:tcMar>
          </w:tcPr>
          <w:p>
            <w:r>
              <w:rPr>
                <w:b/>
                <w:bCs/>
                <w:color w:val="FFFFFF"/>
                <w:sz w:val="24"/>
                <w:szCs w:val="24"/>
              </w:rPr>
              <w:t xml:space="preserve">1.</w:t>
            </w:r>
          </w:p>
        </w:tc>
        <w:tc>
          <w:tcPr>
            <w:tcW w:type="dxa" w:w="8626"/>
            <w:tcMar>
              <w:top w:type="dxa" w:w="140"/>
              <w:left w:type="dxa" w:w="200"/>
              <w:bottom w:type="dxa" w:w="140"/>
              <w:right w:type="dxa" w:w="160"/>
            </w:tcMar>
          </w:tcPr>
          <w:p>
            <w:r>
              <w:rPr>
                <w:sz w:val="22"/>
                <w:szCs w:val="22"/>
              </w:rPr>
              <w:t xml:space="preserve">Three sentences MAXIMUM.</w:t>
            </w:r>
          </w:p>
        </w:tc>
      </w:tr>
      <w:tr>
        <w:tc>
          <w:tcPr>
            <w:tcW w:type="dxa" w:w="400"/>
            <w:shd w:fill="F96167" w:val="clear"/>
            <w:tcMar>
              <w:top w:type="dxa" w:w="140"/>
              <w:left w:type="dxa" w:w="80"/>
              <w:bottom w:type="dxa" w:w="140"/>
              <w:right w:type="dxa" w:w="80"/>
            </w:tcMar>
          </w:tcPr>
          <w:p>
            <w:r>
              <w:rPr>
                <w:b/>
                <w:bCs/>
                <w:color w:val="FFFFFF"/>
                <w:sz w:val="24"/>
                <w:szCs w:val="24"/>
              </w:rPr>
              <w:t xml:space="preserve">2.</w:t>
            </w:r>
          </w:p>
        </w:tc>
        <w:tc>
          <w:tcPr>
            <w:tcW w:type="dxa" w:w="8626"/>
            <w:tcMar>
              <w:top w:type="dxa" w:w="140"/>
              <w:left w:type="dxa" w:w="200"/>
              <w:bottom w:type="dxa" w:w="140"/>
              <w:right w:type="dxa" w:w="160"/>
            </w:tcMar>
          </w:tcPr>
          <w:p>
            <w:r>
              <w:rPr>
                <w:sz w:val="22"/>
                <w:szCs w:val="22"/>
              </w:rPr>
              <w:t xml:space="preserve">Must be ENFORCEABLE — someone has to be able to police it, and there must be a consequence for breaking it.</w:t>
            </w:r>
          </w:p>
        </w:tc>
      </w:tr>
      <w:tr>
        <w:tc>
          <w:tcPr>
            <w:tcW w:type="dxa" w:w="400"/>
            <w:shd w:fill="F96167" w:val="clear"/>
            <w:tcMar>
              <w:top w:type="dxa" w:w="140"/>
              <w:left w:type="dxa" w:w="80"/>
              <w:bottom w:type="dxa" w:w="140"/>
              <w:right w:type="dxa" w:w="80"/>
            </w:tcMar>
          </w:tcPr>
          <w:p>
            <w:r>
              <w:rPr>
                <w:b/>
                <w:bCs/>
                <w:color w:val="FFFFFF"/>
                <w:sz w:val="24"/>
                <w:szCs w:val="24"/>
              </w:rPr>
              <w:t xml:space="preserve">3.</w:t>
            </w:r>
          </w:p>
        </w:tc>
        <w:tc>
          <w:tcPr>
            <w:tcW w:type="dxa" w:w="8626"/>
            <w:tcMar>
              <w:top w:type="dxa" w:w="140"/>
              <w:left w:type="dxa" w:w="200"/>
              <w:bottom w:type="dxa" w:w="140"/>
              <w:right w:type="dxa" w:w="160"/>
            </w:tcMar>
          </w:tcPr>
          <w:p>
            <w:r>
              <w:rPr>
                <w:sz w:val="22"/>
                <w:szCs w:val="22"/>
              </w:rPr>
              <w:t xml:space="preserve">Must address one of the patterns you found.</w:t>
            </w:r>
          </w:p>
        </w:tc>
      </w:tr>
    </w:tbl>
    <w:p>
      <w:r>
        <w:t xml:space="preserve"/>
      </w:r>
    </w:p>
    <w:p>
      <w:pPr>
        <w:spacing w:after="80" w:before="160"/>
      </w:pPr>
      <w:r>
        <w:rPr>
          <w:b/>
          <w:bCs/>
          <w:sz w:val="22"/>
          <w:szCs w:val="22"/>
        </w:rPr>
        <w:t xml:space="preserve">Useful questions while you draft</w:t>
      </w:r>
    </w:p>
    <w:p>
      <w:pPr>
        <w:pStyle w:val="ListParagraph"/>
        <w:numPr>
          <w:ilvl w:val="0"/>
          <w:numId w:val="2"/>
        </w:numPr>
      </w:pPr>
      <w:r>
        <w:t xml:space="preserve">Who polices this? If you can't answer that, your rule isn't enforceable yet.</w:t>
      </w:r>
    </w:p>
    <w:p>
      <w:pPr>
        <w:pStyle w:val="ListParagraph"/>
        <w:numPr>
          <w:ilvl w:val="0"/>
          <w:numId w:val="2"/>
        </w:numPr>
      </w:pPr>
      <w:r>
        <w:t xml:space="preserve">How would a company prove they're following it?</w:t>
      </w:r>
    </w:p>
    <w:p>
      <w:pPr>
        <w:pStyle w:val="ListParagraph"/>
        <w:numPr>
          <w:ilvl w:val="0"/>
          <w:numId w:val="2"/>
        </w:numPr>
      </w:pPr>
      <w:r>
        <w:t xml:space="preserve">What's the consequence for breaking it?</w:t>
      </w:r>
    </w:p>
    <w:p>
      <w:pPr>
        <w:pStyle w:val="ListParagraph"/>
        <w:numPr>
          <w:ilvl w:val="0"/>
          <w:numId w:val="2"/>
        </w:numPr>
      </w:pPr>
      <w:r>
        <w:t xml:space="preserve">Could a company technically comply while still doing harm?</w:t>
      </w:r>
    </w:p>
    <w:p>
      <w:r>
        <w:t xml:space="preserve"/>
      </w:r>
    </w:p>
    <w:p>
      <w:pPr>
        <w:spacing w:after="80" w:before="160"/>
      </w:pPr>
      <w:r>
        <w:rPr>
          <w:b/>
          <w:bCs/>
          <w:sz w:val="24"/>
          <w:szCs w:val="24"/>
        </w:rPr>
        <w:t xml:space="preserve">Which pattern does your regulation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pPr>
        <w:spacing w:after="80" w:before="160"/>
      </w:pPr>
      <w:r>
        <w:rPr>
          <w:b/>
          <w:bCs/>
          <w:sz w:val="24"/>
          <w:szCs w:val="24"/>
        </w:rPr>
        <w:t xml:space="preserve">Your regulation (three sentences max)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r>
        <w:br w:type="page"/>
      </w:r>
    </w:p>
    <w:p>
      <w:pPr>
        <w:spacing w:after="80" w:before="160"/>
      </w:pPr>
      <w:r>
        <w:rPr>
          <w:b/>
          <w:bCs/>
          <w:sz w:val="32"/>
          <w:szCs w:val="32"/>
        </w:rPr>
        <w:t xml:space="preserve">Final reflection</w:t>
      </w:r>
    </w:p>
    <w:p>
      <w:pPr>
        <w:spacing w:after="120"/>
      </w:pPr>
      <w:r>
        <w:rPr>
          <w:i/>
          <w:iCs/>
          <w:color w:val="555555"/>
        </w:rPr>
        <w:t xml:space="preserve">To finish, two minutes of silent writing.</w:t>
      </w:r>
    </w:p>
    <w:p>
      <w:pPr>
        <w:spacing w:after="80" w:before="160"/>
      </w:pPr>
      <w:r>
        <w:rPr>
          <w:b/>
          <w:bCs/>
          <w:sz w:val="24"/>
          <w:szCs w:val="24"/>
        </w:rPr>
        <w:t xml:space="preserve">What was the strongest argument you heard today that you didn't agree with? Why was it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r>
        <w:trPr>
          <w:trHeight w:val="440" w:hRule="atLeast"/>
        </w:trPr>
        <w:tc>
          <w:tcPr>
            <w:tcW w:type="dxa" w:w="9026"/>
            <w:tcBorders>
              <w:top w:val="none" w:color="FFFFFF" w:sz="0"/>
              <w:left w:val="none" w:color="FFFFFF" w:sz="0"/>
              <w:bottom w:val="single" w:color="BBBBBB" w:sz="4"/>
              <w:right w:val="none" w:color="FFFFFF" w:sz="0"/>
            </w:tcBorders>
            <w:tcMar>
              <w:top w:type="dxa" w:w="0"/>
              <w:left w:type="dxa" w:w="0"/>
              <w:bottom w:type="dxa" w:w="0"/>
              <w:right w:type="dxa" w:w="0"/>
            </w:tcMar>
          </w:tcPr>
          <w:p>
            <w:r>
              <w:t xml:space="preserve"/>
            </w:r>
          </w:p>
        </w:tc>
      </w:tr>
    </w:tbl>
    <w:p>
      <w:pPr>
        <w:spacing w:after="200"/>
      </w:pPr>
      <w:r>
        <w:t xml:space="preserve"/>
      </w:r>
    </w:p>
    <w:p>
      <w:r>
        <w:t xml:space="preserve"/>
      </w:r>
    </w:p>
    <w:p>
      <w:pPr>
        <w:spacing w:after="80" w:before="160"/>
      </w:pPr>
      <w:r>
        <w:rPr>
          <w:b/>
          <w:bCs/>
          <w:sz w:val="24"/>
          <w:szCs w:val="24"/>
        </w:rPr>
        <w:t xml:space="preserve">One thing to take with you</w:t>
      </w:r>
    </w:p>
    <w:p>
      <w:pPr>
        <w:spacing w:after="120"/>
      </w:pPr>
      <w:r>
        <w:t xml:space="preserve">The EU AI Act came into force in 2024. It bans AI systems that use 'manipulative or deceptive techniques' to distort behaviour, and systems that 'exploit vulnerabilities related to age'. The European Commission's official guidelines from July 2025 specifically name chatbots that exploit emotional dependency as an example of what's forbidden.</w:t>
      </w:r>
    </w:p>
    <w:p>
      <w:pPr>
        <w:spacing w:after="120"/>
      </w:pPr>
      <w:r>
        <w:t xml:space="preserve">But many policymakers — including Dutch MEP Kim van Sparrentak — argue the law is still too vague when it comes to AI companions specifically. The work you just did, designing constraints under real pressure, is the same work happening in Brussels and London right now. Your regulations were not student exercises. They were early drafts.</w:t>
      </w:r>
    </w:p>
    <w:p>
      <w:r>
        <w:br w:type="page"/>
      </w:r>
    </w:p>
    <w:p>
      <w:pPr>
        <w:spacing w:after="80" w:before="160"/>
      </w:pPr>
      <w:r>
        <w:rPr>
          <w:b/>
          <w:bCs/>
          <w:sz w:val="28"/>
          <w:szCs w:val="28"/>
        </w:rPr>
        <w:t xml:space="preserve">If any of this has affected you</w:t>
      </w:r>
    </w:p>
    <w:p>
      <w:pPr>
        <w:spacing w:after="120"/>
      </w:pPr>
      <w:r>
        <w:t xml:space="preserve">Today's content was heavy. The Setzer case, the manipulation patterns, the discussion of grief and suicide — all of it is the kind of material that can stay with you afterwards. Same resources as last lesson, repeated here so you have them.</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F5F5F5" w:val="clear"/>
            <w:tcMar>
              <w:top w:type="dxa" w:w="100"/>
              <w:left w:type="dxa" w:w="160"/>
              <w:bottom w:type="dxa" w:w="100"/>
              <w:right w:type="dxa" w:w="160"/>
            </w:tcMar>
          </w:tcPr>
          <w:p>
            <w:r>
              <w:rPr>
                <w:b/>
                <w:bCs/>
              </w:rPr>
              <w:t xml:space="preserve">In school</w:t>
            </w:r>
          </w:p>
        </w:tc>
        <w:tc>
          <w:tcPr>
            <w:tcW w:type="dxa" w:w="6026"/>
            <w:tcMar>
              <w:top w:type="dxa" w:w="100"/>
              <w:left w:type="dxa" w:w="160"/>
              <w:bottom w:type="dxa" w:w="100"/>
              <w:right w:type="dxa" w:w="160"/>
            </w:tcMar>
          </w:tcPr>
          <w:p>
            <w:r>
              <w:t xml:space="preserve">Your tutor, the chaplaincy, or any member of the wellbeing team. You can also book a slot directly through the wellbeing portal.</w:t>
            </w:r>
          </w:p>
        </w:tc>
      </w:tr>
      <w:tr>
        <w:tc>
          <w:tcPr>
            <w:tcW w:type="dxa" w:w="3000"/>
            <w:shd w:fill="F5F5F5" w:val="clear"/>
            <w:tcMar>
              <w:top w:type="dxa" w:w="100"/>
              <w:left w:type="dxa" w:w="160"/>
              <w:bottom w:type="dxa" w:w="100"/>
              <w:right w:type="dxa" w:w="160"/>
            </w:tcMar>
          </w:tcPr>
          <w:p>
            <w:r>
              <w:rPr>
                <w:b/>
                <w:bCs/>
              </w:rPr>
              <w:t xml:space="preserve">Childline</w:t>
            </w:r>
          </w:p>
        </w:tc>
        <w:tc>
          <w:tcPr>
            <w:tcW w:type="dxa" w:w="6026"/>
            <w:tcMar>
              <w:top w:type="dxa" w:w="100"/>
              <w:left w:type="dxa" w:w="160"/>
              <w:bottom w:type="dxa" w:w="100"/>
              <w:right w:type="dxa" w:w="160"/>
            </w:tcMar>
          </w:tcPr>
          <w:p>
            <w:r>
              <w:t xml:space="preserve">0800 1111 — free, confidential, open to anyone under 19. Online chat available at childline.org.uk.</w:t>
            </w:r>
          </w:p>
        </w:tc>
      </w:tr>
      <w:tr>
        <w:tc>
          <w:tcPr>
            <w:tcW w:type="dxa" w:w="3000"/>
            <w:shd w:fill="F5F5F5" w:val="clear"/>
            <w:tcMar>
              <w:top w:type="dxa" w:w="100"/>
              <w:left w:type="dxa" w:w="160"/>
              <w:bottom w:type="dxa" w:w="100"/>
              <w:right w:type="dxa" w:w="160"/>
            </w:tcMar>
          </w:tcPr>
          <w:p>
            <w:r>
              <w:rPr>
                <w:b/>
                <w:bCs/>
              </w:rPr>
              <w:t xml:space="preserve">Papyrus HOPELINE247</w:t>
            </w:r>
          </w:p>
        </w:tc>
        <w:tc>
          <w:tcPr>
            <w:tcW w:type="dxa" w:w="6026"/>
            <w:tcMar>
              <w:top w:type="dxa" w:w="100"/>
              <w:left w:type="dxa" w:w="160"/>
              <w:bottom w:type="dxa" w:w="100"/>
              <w:right w:type="dxa" w:w="160"/>
            </w:tcMar>
          </w:tcPr>
          <w:p>
            <w:r>
              <w:t xml:space="preserve">0800 068 4141 — for anyone under 35 thinking about suicide, or worried about someone else. Text 88247 or email pat@papyrus-uk.org.</w:t>
            </w:r>
          </w:p>
        </w:tc>
      </w:tr>
      <w:tr>
        <w:tc>
          <w:tcPr>
            <w:tcW w:type="dxa" w:w="3000"/>
            <w:shd w:fill="F5F5F5" w:val="clear"/>
            <w:tcMar>
              <w:top w:type="dxa" w:w="100"/>
              <w:left w:type="dxa" w:w="160"/>
              <w:bottom w:type="dxa" w:w="100"/>
              <w:right w:type="dxa" w:w="160"/>
            </w:tcMar>
          </w:tcPr>
          <w:p>
            <w:r>
              <w:rPr>
                <w:b/>
                <w:bCs/>
              </w:rPr>
              <w:t xml:space="preserve">Samaritans</w:t>
            </w:r>
          </w:p>
        </w:tc>
        <w:tc>
          <w:tcPr>
            <w:tcW w:type="dxa" w:w="6026"/>
            <w:tcMar>
              <w:top w:type="dxa" w:w="100"/>
              <w:left w:type="dxa" w:w="160"/>
              <w:bottom w:type="dxa" w:w="100"/>
              <w:right w:type="dxa" w:w="160"/>
            </w:tcMar>
          </w:tcPr>
          <w:p>
            <w:r>
              <w:t xml:space="preserve">116 123 — free, 24 hours, any kind of distress.</w:t>
            </w:r>
          </w:p>
        </w:tc>
      </w:tr>
      <w:tr>
        <w:tc>
          <w:tcPr>
            <w:tcW w:type="dxa" w:w="3000"/>
            <w:shd w:fill="F5F5F5" w:val="clear"/>
            <w:tcMar>
              <w:top w:type="dxa" w:w="100"/>
              <w:left w:type="dxa" w:w="160"/>
              <w:bottom w:type="dxa" w:w="100"/>
              <w:right w:type="dxa" w:w="160"/>
            </w:tcMar>
          </w:tcPr>
          <w:p>
            <w:r>
              <w:rPr>
                <w:b/>
                <w:bCs/>
              </w:rPr>
              <w:t xml:space="preserve">Shout</w:t>
            </w:r>
          </w:p>
        </w:tc>
        <w:tc>
          <w:tcPr>
            <w:tcW w:type="dxa" w:w="6026"/>
            <w:tcMar>
              <w:top w:type="dxa" w:w="100"/>
              <w:left w:type="dxa" w:w="160"/>
              <w:bottom w:type="dxa" w:w="100"/>
              <w:right w:type="dxa" w:w="160"/>
            </w:tcMar>
          </w:tcPr>
          <w:p>
            <w:r>
              <w:t xml:space="preserve">Text SHOUT to 85258 — text-based crisis support, 24 hours.</w:t>
            </w:r>
          </w:p>
        </w:tc>
      </w:tr>
    </w:tbl>
    <w:p>
      <w:r>
        <w:t xml:space="preserve"/>
      </w:r>
    </w:p>
    <w:p>
      <w:pPr>
        <w:spacing w:after="120"/>
      </w:pPr>
      <w:r>
        <w:rPr>
          <w:i/>
          <w:iCs/>
          <w:color w:val="555555"/>
        </w:rPr>
        <w:t xml:space="preserve">Haileybury AEP — Digital Ethics strand — Lesson 2 of 2</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E2761"/>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2026-05-11T16:29:26.142Z</dcterms:created>
  <dcterms:modified xsi:type="dcterms:W3CDTF">2026-05-11T16:29:26.143Z</dcterms:modified>
</cp:coreProperties>
</file>

<file path=docProps/custom.xml><?xml version="1.0" encoding="utf-8"?>
<Properties xmlns="http://schemas.openxmlformats.org/officeDocument/2006/custom-properties" xmlns:vt="http://schemas.openxmlformats.org/officeDocument/2006/docPropsVTypes"/>
</file>