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555555"/>
          <w:spacing w:val="60"/>
          <w:sz w:val="18"/>
          <w:szCs w:val="18"/>
        </w:rPr>
        <w:t xml:space="preserve">JOB DESCRIPTION</w:t>
      </w:r>
    </w:p>
    <w:p>
      <w:pPr>
        <w:spacing w:after="40"/>
      </w:pPr>
      <w:r>
        <w:rPr>
          <w:rFonts w:ascii="Garamond" w:cs="Garamond" w:eastAsia="Garamond" w:hAnsi="Garamond"/>
          <w:b/>
          <w:bCs/>
          <w:color w:val="734B40"/>
          <w:sz w:val="40"/>
          <w:szCs w:val="40"/>
        </w:rPr>
        <w:t xml:space="preserve">Part-Time Secondary School Teacher</w:t>
      </w:r>
    </w:p>
    <w:p>
      <w:pPr>
        <w:spacing w:after="160"/>
      </w:pPr>
      <w:r>
        <w:rPr>
          <w:rFonts w:ascii="Garamond" w:cs="Garamond" w:eastAsia="Garamond" w:hAnsi="Garamond"/>
          <w:i/>
          <w:iCs/>
          <w:color w:val="555555"/>
          <w:sz w:val="28"/>
          <w:szCs w:val="28"/>
        </w:rPr>
        <w:t xml:space="preserve">Extra Lessons Programme (Strategic Business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Department</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Extra Lessons / Programmes</w:t>
            </w:r>
          </w:p>
        </w:tc>
      </w:tr>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Reports to</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Programme Coordinator</w:t>
            </w:r>
          </w:p>
        </w:tc>
      </w:tr>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Employment type</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Part-time</w:t>
            </w:r>
          </w:p>
        </w:tc>
      </w:tr>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Location</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Twalumbu Education Centre, Chongwe</w:t>
            </w:r>
          </w:p>
        </w:tc>
      </w:tr>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Subjects</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As assigned</w:t>
            </w:r>
          </w:p>
        </w:tc>
      </w:tr>
      <w:tr>
        <w:trPr>
          <w:cantSplit/>
        </w:trPr>
        <w:tc>
          <w:tcPr>
            <w:tcW w:type="dxa" w:w="23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734B40"/>
                <w:sz w:val="20"/>
                <w:szCs w:val="20"/>
              </w:rPr>
              <w:t xml:space="preserve">Classes</w:t>
            </w:r>
          </w:p>
        </w:tc>
        <w:tc>
          <w:tcPr>
            <w:tcW w:type="dxa" w:w="70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Grade 9, Grade 12 and approved preparatory classes</w:t>
            </w:r>
          </w:p>
        </w:tc>
      </w:tr>
    </w:tbl>
    <w:p>
      <w:pPr>
        <w:keepNext/>
        <w:pBdr>
          <w:bottom w:val="single" w:color="734B40" w:sz="6" w:space="2"/>
        </w:pBdr>
        <w:spacing w:after="80" w:before="220"/>
      </w:pPr>
      <w:r>
        <w:rPr>
          <w:rFonts w:ascii="Garamond" w:cs="Garamond" w:eastAsia="Garamond" w:hAnsi="Garamond"/>
          <w:b/>
          <w:bCs/>
          <w:color w:val="734B40"/>
          <w:spacing w:val="20"/>
          <w:sz w:val="26"/>
          <w:szCs w:val="26"/>
        </w:rPr>
        <w:t xml:space="preserve">1.  JOB PURPOSE</w:t>
      </w:r>
    </w:p>
    <w:p>
      <w:pPr>
        <w:keepNext w:val="false"/>
        <w:spacing w:after="100" w:line="276"/>
        <w:jc w:val="both"/>
      </w:pPr>
      <w:r>
        <w:rPr>
          <w:rFonts w:ascii="Calibri" w:cs="Calibri" w:eastAsia="Calibri" w:hAnsi="Calibri"/>
          <w:color w:val="222222"/>
          <w:sz w:val="21"/>
          <w:szCs w:val="21"/>
        </w:rPr>
        <w:t xml:space="preserve">The Part-Time Teacher delivers high-quality, engaging and examination-focused instruction to students in the Extra Lessons Programme, helping them build the knowledge, skills, examination technique and confidence needed to achieve exceptional results.</w:t>
      </w:r>
    </w:p>
    <w:p>
      <w:pPr>
        <w:keepNext w:val="false"/>
        <w:spacing w:after="100" w:line="276"/>
        <w:jc w:val="both"/>
      </w:pPr>
      <w:r>
        <w:rPr>
          <w:rFonts w:ascii="Calibri" w:cs="Calibri" w:eastAsia="Calibri" w:hAnsi="Calibri"/>
          <w:color w:val="222222"/>
          <w:sz w:val="21"/>
          <w:szCs w:val="21"/>
        </w:rPr>
        <w:t xml:space="preserve">The role covers lesson preparation, teaching, assessment, feedback, development of learning resources, and participation in the programme’s live-streamed and recorded learning model.</w:t>
      </w:r>
    </w:p>
    <w:p>
      <w:pPr>
        <w:keepNext/>
        <w:pBdr>
          <w:bottom w:val="single" w:color="734B40" w:sz="6" w:space="2"/>
        </w:pBdr>
        <w:spacing w:after="80" w:before="220"/>
      </w:pPr>
      <w:r>
        <w:rPr>
          <w:rFonts w:ascii="Garamond" w:cs="Garamond" w:eastAsia="Garamond" w:hAnsi="Garamond"/>
          <w:b/>
          <w:bCs/>
          <w:color w:val="734B40"/>
          <w:spacing w:val="20"/>
          <w:sz w:val="26"/>
          <w:szCs w:val="26"/>
        </w:rPr>
        <w:t xml:space="preserve">2.  KEY RESPONSIBILITIES</w:t>
      </w:r>
    </w:p>
    <w:p>
      <w:pPr>
        <w:keepNext/>
        <w:spacing w:after="50" w:before="160"/>
      </w:pPr>
      <w:r>
        <w:rPr>
          <w:rFonts w:ascii="Garamond" w:cs="Garamond" w:eastAsia="Garamond" w:hAnsi="Garamond"/>
          <w:b/>
          <w:bCs/>
          <w:color w:val="734B40"/>
          <w:sz w:val="24"/>
          <w:szCs w:val="24"/>
        </w:rPr>
        <w:t xml:space="preserve">2.1  Teaching &amp; Lesson Delivery</w:t>
      </w:r>
    </w:p>
    <w:p>
      <w:pPr>
        <w:pStyle w:val="ListParagraph"/>
        <w:numPr>
          <w:ilvl w:val="0"/>
          <w:numId w:val="2"/>
        </w:numPr>
        <w:spacing w:after="30" w:line="252"/>
      </w:pPr>
      <w:r>
        <w:rPr>
          <w:rFonts w:ascii="Calibri" w:cs="Calibri" w:eastAsia="Calibri" w:hAnsi="Calibri"/>
          <w:color w:val="222222"/>
          <w:sz w:val="21"/>
          <w:szCs w:val="21"/>
        </w:rPr>
        <w:t xml:space="preserve">Plan and deliver well-structured lessons aligned with the relevant ECZ syllabus and examination requirements.</w:t>
      </w:r>
    </w:p>
    <w:p>
      <w:pPr>
        <w:pStyle w:val="ListParagraph"/>
        <w:numPr>
          <w:ilvl w:val="0"/>
          <w:numId w:val="2"/>
        </w:numPr>
        <w:spacing w:after="30" w:line="252"/>
      </w:pPr>
      <w:r>
        <w:rPr>
          <w:rFonts w:ascii="Calibri" w:cs="Calibri" w:eastAsia="Calibri" w:hAnsi="Calibri"/>
          <w:color w:val="222222"/>
          <w:sz w:val="21"/>
          <w:szCs w:val="21"/>
        </w:rPr>
        <w:t xml:space="preserve">Explain concepts clearly using suitable examples, demonstrations, questions and activities, adapting to different levels of understanding.</w:t>
      </w:r>
    </w:p>
    <w:p>
      <w:pPr>
        <w:pStyle w:val="ListParagraph"/>
        <w:numPr>
          <w:ilvl w:val="0"/>
          <w:numId w:val="2"/>
        </w:numPr>
        <w:spacing w:after="30" w:line="252"/>
      </w:pPr>
      <w:r>
        <w:rPr>
          <w:rFonts w:ascii="Calibri" w:cs="Calibri" w:eastAsia="Calibri" w:hAnsi="Calibri"/>
          <w:color w:val="222222"/>
          <w:sz w:val="21"/>
          <w:szCs w:val="21"/>
        </w:rPr>
        <w:t xml:space="preserve">Keep an enthusiastic, engaging and professional style; encourage participation, questioning and critical thinking.</w:t>
      </w:r>
    </w:p>
    <w:p>
      <w:pPr>
        <w:pStyle w:val="ListParagraph"/>
        <w:numPr>
          <w:ilvl w:val="0"/>
          <w:numId w:val="2"/>
        </w:numPr>
        <w:spacing w:after="30" w:line="252"/>
      </w:pPr>
      <w:r>
        <w:rPr>
          <w:rFonts w:ascii="Calibri" w:cs="Calibri" w:eastAsia="Calibri" w:hAnsi="Calibri"/>
          <w:color w:val="222222"/>
          <w:sz w:val="21"/>
          <w:szCs w:val="21"/>
        </w:rPr>
        <w:t xml:space="preserve">Maintain effective classroom management, and start and finish lessons on time.</w:t>
      </w:r>
    </w:p>
    <w:p>
      <w:pPr>
        <w:keepNext/>
        <w:spacing w:after="50" w:before="160"/>
      </w:pPr>
      <w:r>
        <w:rPr>
          <w:rFonts w:ascii="Garamond" w:cs="Garamond" w:eastAsia="Garamond" w:hAnsi="Garamond"/>
          <w:b/>
          <w:bCs/>
          <w:color w:val="734B40"/>
          <w:sz w:val="24"/>
          <w:szCs w:val="24"/>
        </w:rPr>
        <w:t xml:space="preserve">2.2  Examination Preparation</w:t>
      </w:r>
    </w:p>
    <w:p>
      <w:pPr>
        <w:pStyle w:val="ListParagraph"/>
        <w:numPr>
          <w:ilvl w:val="0"/>
          <w:numId w:val="2"/>
        </w:numPr>
        <w:spacing w:after="30" w:line="252"/>
      </w:pPr>
      <w:r>
        <w:rPr>
          <w:rFonts w:ascii="Calibri" w:cs="Calibri" w:eastAsia="Calibri" w:hAnsi="Calibri"/>
          <w:color w:val="222222"/>
          <w:sz w:val="21"/>
          <w:szCs w:val="21"/>
        </w:rPr>
        <w:t xml:space="preserve">Prepare students for Grade 9 and Grade 12 examinations, including GCE candidates where applicable, and support early preparation for younger students.</w:t>
      </w:r>
    </w:p>
    <w:p>
      <w:pPr>
        <w:pStyle w:val="ListParagraph"/>
        <w:numPr>
          <w:ilvl w:val="0"/>
          <w:numId w:val="2"/>
        </w:numPr>
        <w:spacing w:after="30" w:line="252"/>
      </w:pPr>
      <w:r>
        <w:rPr>
          <w:rFonts w:ascii="Calibri" w:cs="Calibri" w:eastAsia="Calibri" w:hAnsi="Calibri"/>
          <w:color w:val="222222"/>
          <w:sz w:val="21"/>
          <w:szCs w:val="21"/>
        </w:rPr>
        <w:t xml:space="preserve">Use past papers, specimen papers and examination-style questions regularly.</w:t>
      </w:r>
    </w:p>
    <w:p>
      <w:pPr>
        <w:pStyle w:val="ListParagraph"/>
        <w:numPr>
          <w:ilvl w:val="0"/>
          <w:numId w:val="2"/>
        </w:numPr>
        <w:spacing w:after="30" w:line="252"/>
      </w:pPr>
      <w:r>
        <w:rPr>
          <w:rFonts w:ascii="Calibri" w:cs="Calibri" w:eastAsia="Calibri" w:hAnsi="Calibri"/>
          <w:color w:val="222222"/>
          <w:sz w:val="21"/>
          <w:szCs w:val="21"/>
        </w:rPr>
        <w:t xml:space="preserve">Teach examination technique: question interpretation, time management and effective answer construction.</w:t>
      </w:r>
    </w:p>
    <w:p>
      <w:pPr>
        <w:pStyle w:val="ListParagraph"/>
        <w:numPr>
          <w:ilvl w:val="0"/>
          <w:numId w:val="2"/>
        </w:numPr>
        <w:spacing w:after="30" w:line="252"/>
      </w:pPr>
      <w:r>
        <w:rPr>
          <w:rFonts w:ascii="Calibri" w:cs="Calibri" w:eastAsia="Calibri" w:hAnsi="Calibri"/>
          <w:color w:val="222222"/>
          <w:sz w:val="21"/>
          <w:szCs w:val="21"/>
        </w:rPr>
        <w:t xml:space="preserve">Identify common examination errors and misconceptions.</w:t>
      </w:r>
    </w:p>
    <w:p>
      <w:pPr>
        <w:keepNext/>
        <w:spacing w:after="50" w:before="160"/>
      </w:pPr>
      <w:r>
        <w:rPr>
          <w:rFonts w:ascii="Garamond" w:cs="Garamond" w:eastAsia="Garamond" w:hAnsi="Garamond"/>
          <w:b/>
          <w:bCs/>
          <w:color w:val="734B40"/>
          <w:sz w:val="24"/>
          <w:szCs w:val="24"/>
        </w:rPr>
        <w:t xml:space="preserve">2.3  Learning Resources</w:t>
      </w:r>
    </w:p>
    <w:p>
      <w:pPr>
        <w:keepNext w:val="false"/>
        <w:spacing w:after="100" w:line="276"/>
        <w:jc w:val="both"/>
      </w:pPr>
      <w:r>
        <w:rPr>
          <w:rFonts w:ascii="Calibri" w:cs="Calibri" w:eastAsia="Calibri" w:hAnsi="Calibri"/>
          <w:color w:val="222222"/>
          <w:sz w:val="21"/>
          <w:szCs w:val="21"/>
        </w:rPr>
        <w:t xml:space="preserve">Contribute to the programme’s learning resources, including presentation slides, lesson notes and summaries, worksheets and exercises, revision materials, practice questions, mock tests and other approved digital materials. All resources must be accurate, professional, syllabus-aligned and submitted by agreed deadlines.</w:t>
      </w:r>
    </w:p>
    <w:p>
      <w:pPr>
        <w:keepNext/>
        <w:spacing w:after="50" w:before="160"/>
      </w:pPr>
      <w:r>
        <w:rPr>
          <w:rFonts w:ascii="Garamond" w:cs="Garamond" w:eastAsia="Garamond" w:hAnsi="Garamond"/>
          <w:b/>
          <w:bCs/>
          <w:color w:val="734B40"/>
          <w:sz w:val="24"/>
          <w:szCs w:val="24"/>
        </w:rPr>
        <w:t xml:space="preserve">2.4  Assessment &amp; Feedback</w:t>
      </w:r>
    </w:p>
    <w:p>
      <w:pPr>
        <w:pStyle w:val="ListParagraph"/>
        <w:numPr>
          <w:ilvl w:val="0"/>
          <w:numId w:val="2"/>
        </w:numPr>
        <w:spacing w:after="30" w:line="252"/>
      </w:pPr>
      <w:r>
        <w:rPr>
          <w:rFonts w:ascii="Calibri" w:cs="Calibri" w:eastAsia="Calibri" w:hAnsi="Calibri"/>
          <w:color w:val="222222"/>
          <w:sz w:val="21"/>
          <w:szCs w:val="21"/>
        </w:rPr>
        <w:t xml:space="preserve">Assess understanding regularly through questioning, exercises and tests; mark and review student work accurately.</w:t>
      </w:r>
    </w:p>
    <w:p>
      <w:pPr>
        <w:pStyle w:val="ListParagraph"/>
        <w:numPr>
          <w:ilvl w:val="0"/>
          <w:numId w:val="2"/>
        </w:numPr>
        <w:spacing w:after="30" w:line="252"/>
      </w:pPr>
      <w:r>
        <w:rPr>
          <w:rFonts w:ascii="Calibri" w:cs="Calibri" w:eastAsia="Calibri" w:hAnsi="Calibri"/>
          <w:color w:val="222222"/>
          <w:sz w:val="21"/>
          <w:szCs w:val="21"/>
        </w:rPr>
        <w:t xml:space="preserve">Identify individual and class-wide learning gaps, and give clear, constructive and actionable feedback.</w:t>
      </w:r>
    </w:p>
    <w:p>
      <w:pPr>
        <w:pStyle w:val="ListParagraph"/>
        <w:numPr>
          <w:ilvl w:val="0"/>
          <w:numId w:val="2"/>
        </w:numPr>
        <w:spacing w:after="30" w:line="252"/>
      </w:pPr>
      <w:r>
        <w:rPr>
          <w:rFonts w:ascii="Calibri" w:cs="Calibri" w:eastAsia="Calibri" w:hAnsi="Calibri"/>
          <w:color w:val="222222"/>
          <w:sz w:val="21"/>
          <w:szCs w:val="21"/>
        </w:rPr>
        <w:t xml:space="preserve">Recommend remedial work and extra practice, and contribute to performance tracking and improvement plans.</w:t>
      </w:r>
    </w:p>
    <w:p>
      <w:pPr>
        <w:pStyle w:val="ListParagraph"/>
        <w:numPr>
          <w:ilvl w:val="0"/>
          <w:numId w:val="2"/>
        </w:numPr>
        <w:spacing w:after="30" w:line="252"/>
      </w:pPr>
      <w:r>
        <w:rPr>
          <w:rFonts w:ascii="Calibri" w:cs="Calibri" w:eastAsia="Calibri" w:hAnsi="Calibri"/>
          <w:color w:val="222222"/>
          <w:sz w:val="21"/>
          <w:szCs w:val="21"/>
        </w:rPr>
        <w:t xml:space="preserve">Use assessment results to adapt future teaching.</w:t>
      </w:r>
    </w:p>
    <w:p>
      <w:pPr>
        <w:keepNext/>
        <w:spacing w:after="50" w:before="160"/>
      </w:pPr>
      <w:r>
        <w:rPr>
          <w:rFonts w:ascii="Garamond" w:cs="Garamond" w:eastAsia="Garamond" w:hAnsi="Garamond"/>
          <w:b/>
          <w:bCs/>
          <w:color w:val="734B40"/>
          <w:sz w:val="24"/>
          <w:szCs w:val="24"/>
        </w:rPr>
        <w:t xml:space="preserve">2.5  Project Genius &amp; Digital Learning</w:t>
      </w:r>
    </w:p>
    <w:p>
      <w:pPr>
        <w:keepNext/>
        <w:spacing w:after="100" w:line="276"/>
        <w:jc w:val="both"/>
      </w:pPr>
      <w:r>
        <w:rPr>
          <w:rFonts w:ascii="Calibri" w:cs="Calibri" w:eastAsia="Calibri" w:hAnsi="Calibri"/>
          <w:color w:val="222222"/>
          <w:sz w:val="21"/>
          <w:szCs w:val="21"/>
        </w:rPr>
        <w:t xml:space="preserve">Where appropriate, integrate Project Genius into teaching by:</w:t>
      </w:r>
    </w:p>
    <w:p>
      <w:pPr>
        <w:pStyle w:val="ListParagraph"/>
        <w:numPr>
          <w:ilvl w:val="0"/>
          <w:numId w:val="2"/>
        </w:numPr>
        <w:spacing w:after="30" w:line="252"/>
      </w:pPr>
      <w:r>
        <w:rPr>
          <w:rFonts w:ascii="Calibri" w:cs="Calibri" w:eastAsia="Calibri" w:hAnsi="Calibri"/>
          <w:color w:val="222222"/>
          <w:sz w:val="21"/>
          <w:szCs w:val="21"/>
        </w:rPr>
        <w:t xml:space="preserve">Directing students to relevant past papers, practice questions and revision resources.</w:t>
      </w:r>
    </w:p>
    <w:p>
      <w:pPr>
        <w:pStyle w:val="ListParagraph"/>
        <w:numPr>
          <w:ilvl w:val="0"/>
          <w:numId w:val="2"/>
        </w:numPr>
        <w:spacing w:after="30" w:line="252"/>
      </w:pPr>
      <w:r>
        <w:rPr>
          <w:rFonts w:ascii="Calibri" w:cs="Calibri" w:eastAsia="Calibri" w:hAnsi="Calibri"/>
          <w:color w:val="222222"/>
          <w:sz w:val="21"/>
          <w:szCs w:val="21"/>
        </w:rPr>
        <w:t xml:space="preserve">Encouraging use of course notes and recorded lessons, and supporting students in using the AI Study Coach.</w:t>
      </w:r>
    </w:p>
    <w:p>
      <w:pPr>
        <w:pStyle w:val="ListParagraph"/>
        <w:numPr>
          <w:ilvl w:val="0"/>
          <w:numId w:val="2"/>
        </w:numPr>
        <w:spacing w:after="30" w:line="252"/>
      </w:pPr>
      <w:r>
        <w:rPr>
          <w:rFonts w:ascii="Calibri" w:cs="Calibri" w:eastAsia="Calibri" w:hAnsi="Calibri"/>
          <w:color w:val="222222"/>
          <w:sz w:val="21"/>
          <w:szCs w:val="21"/>
        </w:rPr>
        <w:t xml:space="preserve">Building digital practice and revision into lessons.</w:t>
      </w:r>
    </w:p>
    <w:p>
      <w:pPr>
        <w:keepNext/>
        <w:spacing w:after="50" w:before="160"/>
      </w:pPr>
      <w:r>
        <w:rPr>
          <w:rFonts w:ascii="Garamond" w:cs="Garamond" w:eastAsia="Garamond" w:hAnsi="Garamond"/>
          <w:b/>
          <w:bCs/>
          <w:color w:val="734B40"/>
          <w:sz w:val="24"/>
          <w:szCs w:val="24"/>
        </w:rPr>
        <w:t xml:space="preserve">2.6  Live-Streamed &amp; Recorded Lessons</w:t>
      </w:r>
    </w:p>
    <w:p>
      <w:pPr>
        <w:keepNext/>
        <w:spacing w:after="100" w:line="276"/>
        <w:jc w:val="both"/>
      </w:pPr>
      <w:r>
        <w:rPr>
          <w:rFonts w:ascii="Calibri" w:cs="Calibri" w:eastAsia="Calibri" w:hAnsi="Calibri"/>
          <w:color w:val="222222"/>
          <w:sz w:val="21"/>
          <w:szCs w:val="21"/>
        </w:rPr>
        <w:t xml:space="preserve">Lessons may be live-streamed and recorded for later student access. Teachers are expected to:</w:t>
      </w:r>
    </w:p>
    <w:p>
      <w:pPr>
        <w:pStyle w:val="ListParagraph"/>
        <w:numPr>
          <w:ilvl w:val="0"/>
          <w:numId w:val="2"/>
        </w:numPr>
        <w:spacing w:after="30" w:line="252"/>
      </w:pPr>
      <w:r>
        <w:rPr>
          <w:rFonts w:ascii="Calibri" w:cs="Calibri" w:eastAsia="Calibri" w:hAnsi="Calibri"/>
          <w:color w:val="222222"/>
          <w:sz w:val="21"/>
          <w:szCs w:val="21"/>
        </w:rPr>
        <w:t xml:space="preserve">Deliver lessons effectively to both classroom and online learners, with clear, confident and energetic communication on camera.</w:t>
      </w:r>
    </w:p>
    <w:p>
      <w:pPr>
        <w:pStyle w:val="ListParagraph"/>
        <w:numPr>
          <w:ilvl w:val="0"/>
          <w:numId w:val="2"/>
        </w:numPr>
        <w:spacing w:after="30" w:line="252"/>
      </w:pPr>
      <w:r>
        <w:rPr>
          <w:rFonts w:ascii="Calibri" w:cs="Calibri" w:eastAsia="Calibri" w:hAnsi="Calibri"/>
          <w:color w:val="222222"/>
          <w:sz w:val="21"/>
          <w:szCs w:val="21"/>
        </w:rPr>
        <w:t xml:space="preserve">Maintain a professional appearance, use presentation equipment and digital resources well, and follow the Centre’s requirements for recorded lessons.</w:t>
      </w:r>
    </w:p>
    <w:p>
      <w:pPr>
        <w:keepNext w:val="false"/>
        <w:spacing w:after="100" w:line="276"/>
        <w:jc w:val="both"/>
      </w:pPr>
      <w:r>
        <w:rPr>
          <w:rFonts w:ascii="Calibri" w:cs="Calibri" w:eastAsia="Calibri" w:hAnsi="Calibri"/>
          <w:i/>
          <w:iCs/>
          <w:color w:val="555555"/>
          <w:sz w:val="21"/>
          <w:szCs w:val="21"/>
        </w:rPr>
        <w:t xml:space="preserve">Teachers are responsible for the quality of delivery but will not normally be responsible for filming, editing, uploading or publishing recordings.</w:t>
      </w:r>
    </w:p>
    <w:p>
      <w:pPr>
        <w:keepNext/>
        <w:spacing w:after="50" w:before="160"/>
      </w:pPr>
      <w:r>
        <w:rPr>
          <w:rFonts w:ascii="Garamond" w:cs="Garamond" w:eastAsia="Garamond" w:hAnsi="Garamond"/>
          <w:b/>
          <w:bCs/>
          <w:color w:val="734B40"/>
          <w:sz w:val="24"/>
          <w:szCs w:val="24"/>
        </w:rPr>
        <w:t xml:space="preserve">2.7  Student Support &amp; Engagement</w:t>
      </w:r>
    </w:p>
    <w:p>
      <w:pPr>
        <w:pStyle w:val="ListParagraph"/>
        <w:numPr>
          <w:ilvl w:val="0"/>
          <w:numId w:val="2"/>
        </w:numPr>
        <w:spacing w:after="30" w:line="252"/>
      </w:pPr>
      <w:r>
        <w:rPr>
          <w:rFonts w:ascii="Calibri" w:cs="Calibri" w:eastAsia="Calibri" w:hAnsi="Calibri"/>
          <w:color w:val="222222"/>
          <w:sz w:val="21"/>
          <w:szCs w:val="21"/>
        </w:rPr>
        <w:t xml:space="preserve">Encourage independent study habits and consistent practice.</w:t>
      </w:r>
    </w:p>
    <w:p>
      <w:pPr>
        <w:pStyle w:val="ListParagraph"/>
        <w:numPr>
          <w:ilvl w:val="0"/>
          <w:numId w:val="2"/>
        </w:numPr>
        <w:spacing w:after="30" w:line="252"/>
      </w:pPr>
      <w:r>
        <w:rPr>
          <w:rFonts w:ascii="Calibri" w:cs="Calibri" w:eastAsia="Calibri" w:hAnsi="Calibri"/>
          <w:color w:val="222222"/>
          <w:sz w:val="21"/>
          <w:szCs w:val="21"/>
        </w:rPr>
        <w:t xml:space="preserve">Identify students who are struggling or disengaging, and give appropriate academic support and guidance.</w:t>
      </w:r>
    </w:p>
    <w:p>
      <w:pPr>
        <w:pStyle w:val="ListParagraph"/>
        <w:numPr>
          <w:ilvl w:val="0"/>
          <w:numId w:val="2"/>
        </w:numPr>
        <w:spacing w:after="30" w:line="252"/>
      </w:pPr>
      <w:r>
        <w:rPr>
          <w:rFonts w:ascii="Calibri" w:cs="Calibri" w:eastAsia="Calibri" w:hAnsi="Calibri"/>
          <w:color w:val="222222"/>
          <w:sz w:val="21"/>
          <w:szCs w:val="21"/>
        </w:rPr>
        <w:t xml:space="preserve">Report significant academic concerns to the Programme Coordinator.</w:t>
      </w:r>
    </w:p>
    <w:p>
      <w:pPr>
        <w:pStyle w:val="ListParagraph"/>
        <w:numPr>
          <w:ilvl w:val="0"/>
          <w:numId w:val="2"/>
        </w:numPr>
        <w:spacing w:after="30" w:line="252"/>
      </w:pPr>
      <w:r>
        <w:rPr>
          <w:rFonts w:ascii="Calibri" w:cs="Calibri" w:eastAsia="Calibri" w:hAnsi="Calibri"/>
          <w:color w:val="222222"/>
          <w:sz w:val="21"/>
          <w:szCs w:val="21"/>
        </w:rPr>
        <w:t xml:space="preserve">Maintain professional and appropriate relationships with students.</w:t>
      </w:r>
    </w:p>
    <w:p>
      <w:pPr>
        <w:keepNext/>
        <w:spacing w:after="50" w:before="160"/>
      </w:pPr>
      <w:r>
        <w:rPr>
          <w:rFonts w:ascii="Garamond" w:cs="Garamond" w:eastAsia="Garamond" w:hAnsi="Garamond"/>
          <w:b/>
          <w:bCs/>
          <w:color w:val="734B40"/>
          <w:sz w:val="24"/>
          <w:szCs w:val="24"/>
        </w:rPr>
        <w:t xml:space="preserve">2.8  Professional &amp; Administrative Responsibilities</w:t>
      </w:r>
    </w:p>
    <w:p>
      <w:pPr>
        <w:pStyle w:val="ListParagraph"/>
        <w:numPr>
          <w:ilvl w:val="0"/>
          <w:numId w:val="2"/>
        </w:numPr>
        <w:spacing w:after="30" w:line="252"/>
      </w:pPr>
      <w:r>
        <w:rPr>
          <w:rFonts w:ascii="Calibri" w:cs="Calibri" w:eastAsia="Calibri" w:hAnsi="Calibri"/>
          <w:color w:val="222222"/>
          <w:sz w:val="21"/>
          <w:szCs w:val="21"/>
        </w:rPr>
        <w:t xml:space="preserve">Maintain excellent attendance and punctuality, and notify the Programme Coordinator promptly of any absence or scheduling issue.</w:t>
      </w:r>
    </w:p>
    <w:p>
      <w:pPr>
        <w:pStyle w:val="ListParagraph"/>
        <w:numPr>
          <w:ilvl w:val="0"/>
          <w:numId w:val="2"/>
        </w:numPr>
        <w:spacing w:after="30" w:line="252"/>
      </w:pPr>
      <w:r>
        <w:rPr>
          <w:rFonts w:ascii="Calibri" w:cs="Calibri" w:eastAsia="Calibri" w:hAnsi="Calibri"/>
          <w:color w:val="222222"/>
          <w:sz w:val="21"/>
          <w:szCs w:val="21"/>
        </w:rPr>
        <w:t xml:space="preserve">Attend required meetings, training and programme activities, and cooperate with lesson observations and quality-assurance processes.</w:t>
      </w:r>
    </w:p>
    <w:p>
      <w:pPr>
        <w:pStyle w:val="ListParagraph"/>
        <w:numPr>
          <w:ilvl w:val="0"/>
          <w:numId w:val="2"/>
        </w:numPr>
        <w:spacing w:after="30" w:line="252"/>
      </w:pPr>
      <w:r>
        <w:rPr>
          <w:rFonts w:ascii="Calibri" w:cs="Calibri" w:eastAsia="Calibri" w:hAnsi="Calibri"/>
          <w:color w:val="222222"/>
          <w:sz w:val="21"/>
          <w:szCs w:val="21"/>
        </w:rPr>
        <w:t xml:space="preserve">Maintain confidentiality and professional standards; safeguard student welfare and report concerns through established procedures.</w:t>
      </w:r>
    </w:p>
    <w:p>
      <w:pPr>
        <w:pStyle w:val="ListParagraph"/>
        <w:numPr>
          <w:ilvl w:val="0"/>
          <w:numId w:val="2"/>
        </w:numPr>
        <w:spacing w:after="30" w:line="252"/>
      </w:pPr>
      <w:r>
        <w:rPr>
          <w:rFonts w:ascii="Calibri" w:cs="Calibri" w:eastAsia="Calibri" w:hAnsi="Calibri"/>
          <w:color w:val="222222"/>
          <w:sz w:val="21"/>
          <w:szCs w:val="21"/>
        </w:rPr>
        <w:t xml:space="preserve">Work collaboratively with the Programme Coordinator and other teachers, and stay up to date with syllabus and examination requirements.</w:t>
      </w:r>
    </w:p>
    <w:p>
      <w:pPr>
        <w:keepNext/>
        <w:pageBreakBefore/>
        <w:pBdr>
          <w:bottom w:val="single" w:color="734B40" w:sz="6" w:space="2"/>
        </w:pBdr>
        <w:spacing w:after="80" w:before="220"/>
      </w:pPr>
      <w:r>
        <w:rPr>
          <w:rFonts w:ascii="Garamond" w:cs="Garamond" w:eastAsia="Garamond" w:hAnsi="Garamond"/>
          <w:b/>
          <w:bCs/>
          <w:color w:val="734B40"/>
          <w:spacing w:val="20"/>
          <w:sz w:val="26"/>
          <w:szCs w:val="26"/>
        </w:rPr>
        <w:t xml:space="preserve">3.  KEY PERFORMANCE INDICATORS</w:t>
      </w:r>
    </w:p>
    <w:p>
      <w:pPr>
        <w:keepNext/>
        <w:spacing w:after="100" w:line="276"/>
        <w:jc w:val="both"/>
      </w:pPr>
      <w:r>
        <w:rPr>
          <w:rFonts w:ascii="Calibri" w:cs="Calibri" w:eastAsia="Calibri" w:hAnsi="Calibri"/>
          <w:color w:val="222222"/>
          <w:sz w:val="21"/>
          <w:szCs w:val="21"/>
        </w:rPr>
        <w:t xml:space="preserve">Teacher performance will be assessed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34B40"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FFFFFF"/>
                <w:sz w:val="20"/>
                <w:szCs w:val="20"/>
              </w:rPr>
              <w:t xml:space="preserve">Area</w:t>
            </w:r>
          </w:p>
        </w:tc>
        <w:tc>
          <w:tcPr>
            <w:tcW w:type="dxa" w:w="6860"/>
            <w:tcBorders>
              <w:top w:val="none" w:color="FFFFFF" w:sz="0"/>
              <w:left w:val="none" w:color="FFFFFF" w:sz="0"/>
              <w:bottom w:val="none" w:color="FFFFFF" w:sz="0"/>
              <w:right w:val="none" w:color="FFFFFF" w:sz="0"/>
            </w:tcBorders>
            <w:shd w:fill="734B40"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FFFFFF"/>
                <w:sz w:val="20"/>
                <w:szCs w:val="20"/>
              </w:rPr>
              <w:t xml:space="preserve">Indicators</w:t>
            </w:r>
          </w:p>
        </w:tc>
      </w:tr>
      <w:tr>
        <w:trPr>
          <w:cantSplit/>
        </w:trPr>
        <w:tc>
          <w:tcPr>
            <w:tcW w:type="dxa" w:w="25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Teaching quality</w:t>
            </w:r>
          </w:p>
        </w:tc>
        <w:tc>
          <w:tcPr>
            <w:tcW w:type="dxa" w:w="68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pStyle w:val="ListParagraph"/>
              <w:numPr>
                <w:ilvl w:val="0"/>
                <w:numId w:val="2"/>
              </w:numPr>
              <w:spacing w:after="20"/>
            </w:pPr>
            <w:r>
              <w:rPr>
                <w:rFonts w:ascii="Calibri" w:cs="Calibri" w:eastAsia="Calibri" w:hAnsi="Calibri"/>
                <w:color w:val="222222"/>
                <w:sz w:val="20"/>
                <w:szCs w:val="20"/>
              </w:rPr>
              <w:t xml:space="preserve">Effectiveness of lesson delivery and quality of recorded/online lessons</w:t>
            </w:r>
          </w:p>
          <w:p>
            <w:pPr>
              <w:pStyle w:val="ListParagraph"/>
              <w:numPr>
                <w:ilvl w:val="0"/>
                <w:numId w:val="2"/>
              </w:numPr>
              <w:spacing w:after="20"/>
            </w:pPr>
            <w:r>
              <w:rPr>
                <w:rFonts w:ascii="Calibri" w:cs="Calibri" w:eastAsia="Calibri" w:hAnsi="Calibri"/>
                <w:color w:val="222222"/>
                <w:sz w:val="20"/>
                <w:szCs w:val="20"/>
              </w:rPr>
              <w:t xml:space="preserve">Student engagement and participation</w:t>
            </w:r>
          </w:p>
        </w:tc>
      </w:tr>
      <w:tr>
        <w:trPr>
          <w:cantSplit/>
        </w:trPr>
        <w:tc>
          <w:tcPr>
            <w:tcW w:type="dxa" w:w="25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Student results</w:t>
            </w:r>
          </w:p>
        </w:tc>
        <w:tc>
          <w:tcPr>
            <w:tcW w:type="dxa" w:w="686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pStyle w:val="ListParagraph"/>
              <w:numPr>
                <w:ilvl w:val="0"/>
                <w:numId w:val="2"/>
              </w:numPr>
              <w:spacing w:after="20"/>
            </w:pPr>
            <w:r>
              <w:rPr>
                <w:rFonts w:ascii="Calibri" w:cs="Calibri" w:eastAsia="Calibri" w:hAnsi="Calibri"/>
                <w:color w:val="222222"/>
                <w:sz w:val="20"/>
                <w:szCs w:val="20"/>
              </w:rPr>
              <w:t xml:space="preserve">Student academic progress and improvement</w:t>
            </w:r>
          </w:p>
          <w:p>
            <w:pPr>
              <w:pStyle w:val="ListParagraph"/>
              <w:numPr>
                <w:ilvl w:val="0"/>
                <w:numId w:val="2"/>
              </w:numPr>
              <w:spacing w:after="20"/>
            </w:pPr>
            <w:r>
              <w:rPr>
                <w:rFonts w:ascii="Calibri" w:cs="Calibri" w:eastAsia="Calibri" w:hAnsi="Calibri"/>
                <w:color w:val="222222"/>
                <w:sz w:val="20"/>
                <w:szCs w:val="20"/>
              </w:rPr>
              <w:t xml:space="preserve">Student attendance and engagement in assigned classes</w:t>
            </w:r>
          </w:p>
        </w:tc>
      </w:tr>
      <w:tr>
        <w:trPr>
          <w:cantSplit/>
        </w:trPr>
        <w:tc>
          <w:tcPr>
            <w:tcW w:type="dxa" w:w="25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Preparation &amp; resources</w:t>
            </w:r>
          </w:p>
        </w:tc>
        <w:tc>
          <w:tcPr>
            <w:tcW w:type="dxa" w:w="68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pStyle w:val="ListParagraph"/>
              <w:numPr>
                <w:ilvl w:val="0"/>
                <w:numId w:val="2"/>
              </w:numPr>
              <w:spacing w:after="20"/>
            </w:pPr>
            <w:r>
              <w:rPr>
                <w:rFonts w:ascii="Calibri" w:cs="Calibri" w:eastAsia="Calibri" w:hAnsi="Calibri"/>
                <w:color w:val="222222"/>
                <w:sz w:val="20"/>
                <w:szCs w:val="20"/>
              </w:rPr>
              <w:t xml:space="preserve">Quality of lesson plans and learning resources</w:t>
            </w:r>
          </w:p>
          <w:p>
            <w:pPr>
              <w:pStyle w:val="ListParagraph"/>
              <w:numPr>
                <w:ilvl w:val="0"/>
                <w:numId w:val="2"/>
              </w:numPr>
              <w:spacing w:after="20"/>
            </w:pPr>
            <w:r>
              <w:rPr>
                <w:rFonts w:ascii="Calibri" w:cs="Calibri" w:eastAsia="Calibri" w:hAnsi="Calibri"/>
                <w:color w:val="222222"/>
                <w:sz w:val="20"/>
                <w:szCs w:val="20"/>
              </w:rPr>
              <w:t xml:space="preserve">Syllabus and examination coverage; effective use of past papers</w:t>
            </w:r>
          </w:p>
        </w:tc>
      </w:tr>
      <w:tr>
        <w:trPr>
          <w:cantSplit/>
        </w:trPr>
        <w:tc>
          <w:tcPr>
            <w:tcW w:type="dxa" w:w="25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Assessment</w:t>
            </w:r>
          </w:p>
        </w:tc>
        <w:tc>
          <w:tcPr>
            <w:tcW w:type="dxa" w:w="686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pStyle w:val="ListParagraph"/>
              <w:numPr>
                <w:ilvl w:val="0"/>
                <w:numId w:val="2"/>
              </w:numPr>
              <w:spacing w:after="20"/>
            </w:pPr>
            <w:r>
              <w:rPr>
                <w:rFonts w:ascii="Calibri" w:cs="Calibri" w:eastAsia="Calibri" w:hAnsi="Calibri"/>
                <w:color w:val="222222"/>
                <w:sz w:val="20"/>
                <w:szCs w:val="20"/>
              </w:rPr>
              <w:t xml:space="preserve">Quality and timeliness of feedback and assessment</w:t>
            </w:r>
          </w:p>
        </w:tc>
      </w:tr>
      <w:tr>
        <w:trPr>
          <w:cantSplit/>
        </w:trPr>
        <w:tc>
          <w:tcPr>
            <w:tcW w:type="dxa" w:w="25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Professionalism</w:t>
            </w:r>
          </w:p>
        </w:tc>
        <w:tc>
          <w:tcPr>
            <w:tcW w:type="dxa" w:w="68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pStyle w:val="ListParagraph"/>
              <w:numPr>
                <w:ilvl w:val="0"/>
                <w:numId w:val="2"/>
              </w:numPr>
              <w:spacing w:after="20"/>
            </w:pPr>
            <w:r>
              <w:rPr>
                <w:rFonts w:ascii="Calibri" w:cs="Calibri" w:eastAsia="Calibri" w:hAnsi="Calibri"/>
                <w:color w:val="222222"/>
                <w:sz w:val="20"/>
                <w:szCs w:val="20"/>
              </w:rPr>
              <w:t xml:space="preserve">Punctuality, reliability and conduct</w:t>
            </w:r>
          </w:p>
          <w:p>
            <w:pPr>
              <w:pStyle w:val="ListParagraph"/>
              <w:numPr>
                <w:ilvl w:val="0"/>
                <w:numId w:val="2"/>
              </w:numPr>
              <w:spacing w:after="20"/>
            </w:pPr>
            <w:r>
              <w:rPr>
                <w:rFonts w:ascii="Calibri" w:cs="Calibri" w:eastAsia="Calibri" w:hAnsi="Calibri"/>
                <w:color w:val="222222"/>
                <w:sz w:val="20"/>
                <w:szCs w:val="20"/>
              </w:rPr>
              <w:t xml:space="preserve">Effective use of Project Genius and other approved learning technologies</w:t>
            </w:r>
          </w:p>
        </w:tc>
      </w:tr>
    </w:tbl>
    <w:p>
      <w:pPr>
        <w:keepNext/>
        <w:pBdr>
          <w:bottom w:val="single" w:color="734B40" w:sz="6" w:space="2"/>
        </w:pBdr>
        <w:spacing w:after="80" w:before="220"/>
      </w:pPr>
      <w:r>
        <w:rPr>
          <w:rFonts w:ascii="Garamond" w:cs="Garamond" w:eastAsia="Garamond" w:hAnsi="Garamond"/>
          <w:b/>
          <w:bCs/>
          <w:color w:val="734B40"/>
          <w:spacing w:val="20"/>
          <w:sz w:val="26"/>
          <w:szCs w:val="26"/>
        </w:rPr>
        <w:t xml:space="preserve">4.  QUALIFICATIONS &amp; EXPERIENCE</w:t>
      </w:r>
    </w:p>
    <w:p>
      <w:pPr>
        <w:keepNext/>
        <w:spacing w:after="50" w:before="160"/>
      </w:pPr>
      <w:r>
        <w:rPr>
          <w:rFonts w:ascii="Garamond" w:cs="Garamond" w:eastAsia="Garamond" w:hAnsi="Garamond"/>
          <w:b/>
          <w:bCs/>
          <w:color w:val="734B40"/>
          <w:sz w:val="24"/>
          <w:szCs w:val="24"/>
        </w:rPr>
        <w:t xml:space="preserve">Minimum requirements</w:t>
      </w:r>
    </w:p>
    <w:p>
      <w:pPr>
        <w:pStyle w:val="ListParagraph"/>
        <w:numPr>
          <w:ilvl w:val="0"/>
          <w:numId w:val="2"/>
        </w:numPr>
        <w:spacing w:after="30" w:line="252"/>
      </w:pPr>
      <w:r>
        <w:rPr>
          <w:rFonts w:ascii="Calibri" w:cs="Calibri" w:eastAsia="Calibri" w:hAnsi="Calibri"/>
          <w:color w:val="222222"/>
          <w:sz w:val="21"/>
          <w:szCs w:val="21"/>
        </w:rPr>
        <w:t xml:space="preserve">A relevant teaching qualification, degree, diploma or recognised qualification in the subject area.</w:t>
      </w:r>
    </w:p>
    <w:p>
      <w:pPr>
        <w:pStyle w:val="ListParagraph"/>
        <w:numPr>
          <w:ilvl w:val="0"/>
          <w:numId w:val="2"/>
        </w:numPr>
        <w:spacing w:after="30" w:line="252"/>
      </w:pPr>
      <w:r>
        <w:rPr>
          <w:rFonts w:ascii="Calibri" w:cs="Calibri" w:eastAsia="Calibri" w:hAnsi="Calibri"/>
          <w:color w:val="222222"/>
          <w:sz w:val="21"/>
          <w:szCs w:val="21"/>
        </w:rPr>
        <w:t xml:space="preserve">Strong subject knowledge and the ability to teach secondary school students effectively.</w:t>
      </w:r>
    </w:p>
    <w:p>
      <w:pPr>
        <w:pStyle w:val="ListParagraph"/>
        <w:numPr>
          <w:ilvl w:val="0"/>
          <w:numId w:val="2"/>
        </w:numPr>
        <w:spacing w:after="30" w:line="252"/>
      </w:pPr>
      <w:r>
        <w:rPr>
          <w:rFonts w:ascii="Calibri" w:cs="Calibri" w:eastAsia="Calibri" w:hAnsi="Calibri"/>
          <w:color w:val="222222"/>
          <w:sz w:val="21"/>
          <w:szCs w:val="21"/>
        </w:rPr>
        <w:t xml:space="preserve">Strong verbal and written communication skills, good computer literacy, and the ability to create digital teaching resources.</w:t>
      </w:r>
    </w:p>
    <w:p>
      <w:pPr>
        <w:keepNext/>
        <w:spacing w:after="50" w:before="160"/>
      </w:pPr>
      <w:r>
        <w:rPr>
          <w:rFonts w:ascii="Garamond" w:cs="Garamond" w:eastAsia="Garamond" w:hAnsi="Garamond"/>
          <w:b/>
          <w:bCs/>
          <w:color w:val="734B40"/>
          <w:sz w:val="24"/>
          <w:szCs w:val="24"/>
        </w:rPr>
        <w:t xml:space="preserve">Desirable</w:t>
      </w:r>
    </w:p>
    <w:p>
      <w:pPr>
        <w:pStyle w:val="ListParagraph"/>
        <w:numPr>
          <w:ilvl w:val="0"/>
          <w:numId w:val="2"/>
        </w:numPr>
        <w:spacing w:after="30" w:line="252"/>
      </w:pPr>
      <w:r>
        <w:rPr>
          <w:rFonts w:ascii="Calibri" w:cs="Calibri" w:eastAsia="Calibri" w:hAnsi="Calibri"/>
          <w:color w:val="222222"/>
          <w:sz w:val="21"/>
          <w:szCs w:val="21"/>
        </w:rPr>
        <w:t xml:space="preserve">Experience teaching Grade 9 or Grade 12 and GCE candidates, and preparing students for ECZ examinations.</w:t>
      </w:r>
    </w:p>
    <w:p>
      <w:pPr>
        <w:pStyle w:val="ListParagraph"/>
        <w:numPr>
          <w:ilvl w:val="0"/>
          <w:numId w:val="2"/>
        </w:numPr>
        <w:spacing w:after="30" w:line="252"/>
      </w:pPr>
      <w:r>
        <w:rPr>
          <w:rFonts w:ascii="Calibri" w:cs="Calibri" w:eastAsia="Calibri" w:hAnsi="Calibri"/>
          <w:color w:val="222222"/>
          <w:sz w:val="21"/>
          <w:szCs w:val="21"/>
        </w:rPr>
        <w:t xml:space="preserve">Familiarity with ECZ syllabi, past papers and examination requirements.</w:t>
      </w:r>
    </w:p>
    <w:p>
      <w:pPr>
        <w:pStyle w:val="ListParagraph"/>
        <w:numPr>
          <w:ilvl w:val="0"/>
          <w:numId w:val="2"/>
        </w:numPr>
        <w:spacing w:after="30" w:line="252"/>
      </w:pPr>
      <w:r>
        <w:rPr>
          <w:rFonts w:ascii="Calibri" w:cs="Calibri" w:eastAsia="Calibri" w:hAnsi="Calibri"/>
          <w:color w:val="222222"/>
          <w:sz w:val="21"/>
          <w:szCs w:val="21"/>
        </w:rPr>
        <w:t xml:space="preserve">Experience with online, hybrid or technology-assisted teaching, and creating educational digital content.</w:t>
      </w:r>
    </w:p>
    <w:p>
      <w:pPr>
        <w:keepNext/>
        <w:pBdr>
          <w:bottom w:val="single" w:color="734B40" w:sz="6" w:space="2"/>
        </w:pBdr>
        <w:spacing w:after="80" w:before="220"/>
      </w:pPr>
      <w:r>
        <w:rPr>
          <w:rFonts w:ascii="Garamond" w:cs="Garamond" w:eastAsia="Garamond" w:hAnsi="Garamond"/>
          <w:b/>
          <w:bCs/>
          <w:color w:val="734B40"/>
          <w:spacing w:val="20"/>
          <w:sz w:val="26"/>
          <w:szCs w:val="26"/>
        </w:rPr>
        <w:t xml:space="preserve">5.  REQUIRED PERSONAL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none" w:color="FFFFFF" w:sz="0"/>
              <w:left w:val="none" w:color="FFFFFF" w:sz="0"/>
              <w:bottom w:val="none" w:color="FFFFFF" w:sz="0"/>
              <w:right w:val="none" w:color="FFFFFF" w:sz="0"/>
            </w:tcBorders>
            <w:shd w:fill="734B40"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FFFFFF"/>
                <w:sz w:val="20"/>
                <w:szCs w:val="20"/>
              </w:rPr>
              <w:t xml:space="preserve">Quality</w:t>
            </w:r>
          </w:p>
        </w:tc>
        <w:tc>
          <w:tcPr>
            <w:tcW w:type="dxa" w:w="6460"/>
            <w:tcBorders>
              <w:top w:val="none" w:color="FFFFFF" w:sz="0"/>
              <w:left w:val="none" w:color="FFFFFF" w:sz="0"/>
              <w:bottom w:val="none" w:color="FFFFFF" w:sz="0"/>
              <w:right w:val="none" w:color="FFFFFF" w:sz="0"/>
            </w:tcBorders>
            <w:shd w:fill="734B40"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FFFFFF"/>
                <w:sz w:val="20"/>
                <w:szCs w:val="20"/>
              </w:rPr>
              <w:t xml:space="preserve">Expectation</w:t>
            </w:r>
          </w:p>
        </w:tc>
      </w:tr>
      <w:tr>
        <w:trPr>
          <w:cantSplit/>
        </w:trPr>
        <w:tc>
          <w:tcPr>
            <w:tcW w:type="dxa" w:w="29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Knowledgeable</w:t>
            </w:r>
          </w:p>
        </w:tc>
        <w:tc>
          <w:tcPr>
            <w:tcW w:type="dxa" w:w="64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Strong command of the subject.</w:t>
            </w:r>
          </w:p>
        </w:tc>
      </w:tr>
      <w:tr>
        <w:trPr>
          <w:cantSplit/>
        </w:trPr>
        <w:tc>
          <w:tcPr>
            <w:tcW w:type="dxa" w:w="29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Engaging &amp; enthusiastic</w:t>
            </w:r>
          </w:p>
        </w:tc>
        <w:tc>
          <w:tcPr>
            <w:tcW w:type="dxa" w:w="646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Captures and holds student attention; passionate about teaching and student success.</w:t>
            </w:r>
          </w:p>
        </w:tc>
      </w:tr>
      <w:tr>
        <w:trPr>
          <w:cantSplit/>
        </w:trPr>
        <w:tc>
          <w:tcPr>
            <w:tcW w:type="dxa" w:w="29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Results-oriented</w:t>
            </w:r>
          </w:p>
        </w:tc>
        <w:tc>
          <w:tcPr>
            <w:tcW w:type="dxa" w:w="64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Focused on measurable student improvement.</w:t>
            </w:r>
          </w:p>
        </w:tc>
      </w:tr>
      <w:tr>
        <w:trPr>
          <w:cantSplit/>
        </w:trPr>
        <w:tc>
          <w:tcPr>
            <w:tcW w:type="dxa" w:w="29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Professional &amp; reliable</w:t>
            </w:r>
          </w:p>
        </w:tc>
        <w:tc>
          <w:tcPr>
            <w:tcW w:type="dxa" w:w="646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High standards of conduct and presentation; punctual and dependable.</w:t>
            </w:r>
          </w:p>
        </w:tc>
      </w:tr>
      <w:tr>
        <w:trPr>
          <w:cantSplit/>
        </w:trPr>
        <w:tc>
          <w:tcPr>
            <w:tcW w:type="dxa" w:w="29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Adaptable</w:t>
            </w:r>
          </w:p>
        </w:tc>
        <w:tc>
          <w:tcPr>
            <w:tcW w:type="dxa" w:w="64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Adjusts teaching to student needs.</w:t>
            </w:r>
          </w:p>
        </w:tc>
      </w:tr>
      <w:tr>
        <w:trPr>
          <w:cantSplit/>
        </w:trPr>
        <w:tc>
          <w:tcPr>
            <w:tcW w:type="dxa" w:w="290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Technologically capable</w:t>
            </w:r>
          </w:p>
        </w:tc>
        <w:tc>
          <w:tcPr>
            <w:tcW w:type="dxa" w:w="6460"/>
            <w:tcBorders>
              <w:top w:val="single" w:color="D9CCC7" w:sz="4"/>
              <w:left w:val="none" w:color="FFFFFF" w:sz="0"/>
              <w:bottom w:val="single" w:color="D9CCC7" w:sz="4"/>
              <w:right w:val="none" w:color="FFFFFF" w:sz="0"/>
            </w:tcBorders>
            <w:shd w:fill="F4ECE9" w:color="auto" w:val="clear"/>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Comfortable with digital learning tools and recorded teaching.</w:t>
            </w:r>
          </w:p>
        </w:tc>
      </w:tr>
      <w:tr>
        <w:trPr>
          <w:cantSplit/>
        </w:trPr>
        <w:tc>
          <w:tcPr>
            <w:tcW w:type="dxa" w:w="290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b/>
                <w:bCs/>
                <w:color w:val="222222"/>
                <w:sz w:val="20"/>
                <w:szCs w:val="20"/>
              </w:rPr>
              <w:t xml:space="preserve">Collaborative &amp; student-centred</w:t>
            </w:r>
          </w:p>
        </w:tc>
        <w:tc>
          <w:tcPr>
            <w:tcW w:type="dxa" w:w="6460"/>
            <w:tcBorders>
              <w:top w:val="single" w:color="D9CCC7" w:sz="4"/>
              <w:left w:val="none" w:color="FFFFFF" w:sz="0"/>
              <w:bottom w:val="single" w:color="D9CCC7" w:sz="4"/>
              <w:right w:val="none" w:color="FFFFFF" w:sz="0"/>
            </w:tcBorders>
            <w:tcMar>
              <w:top w:type="dxa" w:w="70"/>
              <w:left w:type="dxa" w:w="120"/>
              <w:bottom w:type="dxa" w:w="70"/>
              <w:right w:type="dxa" w:w="120"/>
            </w:tcMar>
            <w:vAlign w:val="top"/>
          </w:tcPr>
          <w:p>
            <w:pPr>
              <w:keepNext w:val="false"/>
              <w:spacing w:after="20"/>
            </w:pPr>
            <w:r>
              <w:rPr>
                <w:rFonts w:ascii="Calibri" w:cs="Calibri" w:eastAsia="Calibri" w:hAnsi="Calibri"/>
                <w:color w:val="222222"/>
                <w:sz w:val="20"/>
                <w:szCs w:val="20"/>
              </w:rPr>
              <w:t xml:space="preserve">Works well with the Programme Coordinator and other teachers; committed to helping every learner reach their potential.</w:t>
            </w:r>
          </w:p>
        </w:tc>
      </w:tr>
    </w:tbl>
    <w:p>
      <w:pPr>
        <w:keepNext/>
        <w:pageBreakBefore/>
        <w:pBdr>
          <w:bottom w:val="single" w:color="734B40" w:sz="6" w:space="2"/>
        </w:pBdr>
        <w:spacing w:after="80" w:before="220"/>
      </w:pPr>
      <w:r>
        <w:rPr>
          <w:rFonts w:ascii="Garamond" w:cs="Garamond" w:eastAsia="Garamond" w:hAnsi="Garamond"/>
          <w:b/>
          <w:bCs/>
          <w:color w:val="734B40"/>
          <w:spacing w:val="20"/>
          <w:sz w:val="26"/>
          <w:szCs w:val="26"/>
        </w:rPr>
        <w:t xml:space="preserve">6.  OVERALL EXPECTATION</w:t>
      </w:r>
    </w:p>
    <w:p>
      <w:pPr>
        <w:keepNext/>
        <w:spacing w:after="100" w:line="276"/>
        <w:jc w:val="both"/>
      </w:pPr>
      <w:r>
        <w:rPr>
          <w:rFonts w:ascii="Calibri" w:cs="Calibri" w:eastAsia="Calibri" w:hAnsi="Calibri"/>
          <w:color w:val="222222"/>
          <w:sz w:val="21"/>
          <w:szCs w:val="21"/>
        </w:rPr>
        <w:t xml:space="preserve">The Extra Lessons Teacher is expected to go beyond simply “covering the syllabus”, and to work consistently through this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240"/>
        <w:gridCol w:w="1240"/>
        <w:gridCol w:w="1400"/>
        <w:gridCol w:w="1400"/>
        <w:gridCol w:w="1240"/>
        <w:gridCol w:w="1600"/>
      </w:tblGrid>
      <w:tr>
        <w:trPr>
          <w:cantSplit/>
        </w:trPr>
        <w:tc>
          <w:tcPr>
            <w:tcW w:type="dxa" w:w="1240"/>
            <w:tcBorders>
              <w:top w:val="single" w:color="FFFFFF" w:sz="12"/>
              <w:left w:val="single" w:color="FFFFFF" w:sz="12"/>
              <w:bottom w:val="single" w:color="FFFFFF" w:sz="12"/>
              <w:right w:val="single" w:color="FFFFFF" w:sz="12"/>
            </w:tcBorders>
            <w:shd w:fill="734B40"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Teach</w:t>
            </w:r>
          </w:p>
        </w:tc>
        <w:tc>
          <w:tcPr>
            <w:tcW w:type="dxa" w:w="1240"/>
            <w:tcBorders>
              <w:top w:val="single" w:color="FFFFFF" w:sz="12"/>
              <w:left w:val="single" w:color="FFFFFF" w:sz="12"/>
              <w:bottom w:val="single" w:color="FFFFFF" w:sz="12"/>
              <w:right w:val="single" w:color="FFFFFF" w:sz="12"/>
            </w:tcBorders>
            <w:shd w:fill="8A6155"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Practise</w:t>
            </w:r>
          </w:p>
        </w:tc>
        <w:tc>
          <w:tcPr>
            <w:tcW w:type="dxa" w:w="1240"/>
            <w:tcBorders>
              <w:top w:val="single" w:color="FFFFFF" w:sz="12"/>
              <w:left w:val="single" w:color="FFFFFF" w:sz="12"/>
              <w:bottom w:val="single" w:color="FFFFFF" w:sz="12"/>
              <w:right w:val="single" w:color="FFFFFF" w:sz="12"/>
            </w:tcBorders>
            <w:shd w:fill="734B40"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Assess</w:t>
            </w:r>
          </w:p>
        </w:tc>
        <w:tc>
          <w:tcPr>
            <w:tcW w:type="dxa" w:w="1400"/>
            <w:tcBorders>
              <w:top w:val="single" w:color="FFFFFF" w:sz="12"/>
              <w:left w:val="single" w:color="FFFFFF" w:sz="12"/>
              <w:bottom w:val="single" w:color="FFFFFF" w:sz="12"/>
              <w:right w:val="single" w:color="FFFFFF" w:sz="12"/>
            </w:tcBorders>
            <w:shd w:fill="8A6155"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Give feedback</w:t>
            </w:r>
          </w:p>
        </w:tc>
        <w:tc>
          <w:tcPr>
            <w:tcW w:type="dxa" w:w="1400"/>
            <w:tcBorders>
              <w:top w:val="single" w:color="FFFFFF" w:sz="12"/>
              <w:left w:val="single" w:color="FFFFFF" w:sz="12"/>
              <w:bottom w:val="single" w:color="FFFFFF" w:sz="12"/>
              <w:right w:val="single" w:color="FFFFFF" w:sz="12"/>
            </w:tcBorders>
            <w:shd w:fill="734B40"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Identify gaps</w:t>
            </w:r>
          </w:p>
        </w:tc>
        <w:tc>
          <w:tcPr>
            <w:tcW w:type="dxa" w:w="1240"/>
            <w:tcBorders>
              <w:top w:val="single" w:color="FFFFFF" w:sz="12"/>
              <w:left w:val="single" w:color="FFFFFF" w:sz="12"/>
              <w:bottom w:val="single" w:color="FFFFFF" w:sz="12"/>
              <w:right w:val="single" w:color="FFFFFF" w:sz="12"/>
            </w:tcBorders>
            <w:shd w:fill="8A6155"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Improve</w:t>
            </w:r>
          </w:p>
        </w:tc>
        <w:tc>
          <w:tcPr>
            <w:tcW w:type="dxa" w:w="1600"/>
            <w:tcBorders>
              <w:top w:val="single" w:color="FFFFFF" w:sz="12"/>
              <w:left w:val="single" w:color="FFFFFF" w:sz="12"/>
              <w:bottom w:val="single" w:color="FFFFFF" w:sz="12"/>
              <w:right w:val="single" w:color="FFFFFF" w:sz="12"/>
            </w:tcBorders>
            <w:shd w:fill="734B40" w:color="auto" w:val="clear"/>
            <w:tcMar>
              <w:top w:type="dxa" w:w="90"/>
              <w:left w:type="dxa" w:w="60"/>
              <w:bottom w:type="dxa" w:w="90"/>
              <w:right w:type="dxa" w:w="60"/>
            </w:tcMar>
            <w:vAlign w:val="center"/>
          </w:tcPr>
          <w:p>
            <w:pPr>
              <w:jc w:val="center"/>
            </w:pPr>
            <w:r>
              <w:rPr>
                <w:rFonts w:ascii="Calibri" w:cs="Calibri" w:eastAsia="Calibri" w:hAnsi="Calibri"/>
                <w:b/>
                <w:bCs/>
                <w:color w:val="FFFFFF"/>
                <w:sz w:val="19"/>
                <w:szCs w:val="19"/>
              </w:rPr>
              <w:t xml:space="preserve">Reassess</w:t>
            </w:r>
          </w:p>
        </w:tc>
      </w:tr>
    </w:tbl>
    <w:p>
      <w:pPr>
        <w:spacing w:before="100"/>
      </w:pPr>
    </w:p>
    <w:p>
      <w:pPr>
        <w:keepNext w:val="false"/>
        <w:spacing w:after="100" w:line="276"/>
        <w:jc w:val="both"/>
      </w:pPr>
      <w:r>
        <w:rPr>
          <w:rFonts w:ascii="Calibri" w:cs="Calibri" w:eastAsia="Calibri" w:hAnsi="Calibri"/>
          <w:color w:val="222222"/>
          <w:sz w:val="21"/>
          <w:szCs w:val="21"/>
        </w:rPr>
        <w:t xml:space="preserve">The ultimate goal is to help students move from understanding the subject to confidently applying it in examinations and achieving exceptional results.</w:t>
      </w:r>
    </w:p>
    <w:p>
      <w:pPr>
        <w:keepNext/>
        <w:spacing w:after="60" w:before="200"/>
      </w:pPr>
      <w:r>
        <w:rPr>
          <w:rFonts w:ascii="Garamond" w:cs="Garamond" w:eastAsia="Garamond" w:hAnsi="Garamond"/>
          <w:b/>
          <w:bCs/>
          <w:color w:val="734B40"/>
          <w:spacing w:val="20"/>
          <w:sz w:val="24"/>
          <w:szCs w:val="24"/>
        </w:rPr>
        <w:t xml:space="preserve">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0"/>
              <w:right w:type="dxa" w:w="300"/>
            </w:tcMar>
          </w:tcPr>
          <w:p>
            <w:pPr>
              <w:keepNext/>
              <w:pBdr>
                <w:bottom w:val="single" w:color="333333" w:sz="6" w:space="1"/>
              </w:pBdr>
              <w:spacing w:after="40" w:before="400"/>
            </w:pPr>
          </w:p>
          <w:p>
            <w:pPr>
              <w:keepNext/>
              <w:spacing w:after="20"/>
            </w:pPr>
            <w:r>
              <w:rPr>
                <w:rFonts w:ascii="Calibri" w:cs="Calibri" w:eastAsia="Calibri" w:hAnsi="Calibri"/>
                <w:b/>
                <w:bCs/>
                <w:color w:val="222222"/>
                <w:sz w:val="19"/>
                <w:szCs w:val="19"/>
              </w:rPr>
              <w:t xml:space="preserve">Approved by (Management)</w:t>
            </w:r>
          </w:p>
          <w:p>
            <w:r>
              <w:rPr>
                <w:rFonts w:ascii="Calibri" w:cs="Calibri" w:eastAsia="Calibri" w:hAnsi="Calibri"/>
                <w:color w:val="555555"/>
                <w:sz w:val="18"/>
                <w:szCs w:val="18"/>
              </w:rPr>
              <w:t xml:space="preserve">Name:                                         Date:</w:t>
            </w:r>
          </w:p>
        </w:tc>
        <w:tc>
          <w:tcPr>
            <w:tcW w:type="dxa" w:w="4680"/>
            <w:tcBorders>
              <w:top w:val="none" w:color="FFFFFF" w:sz="0"/>
              <w:left w:val="none" w:color="FFFFFF" w:sz="0"/>
              <w:bottom w:val="none" w:color="FFFFFF" w:sz="0"/>
              <w:right w:val="none" w:color="FFFFFF" w:sz="0"/>
            </w:tcBorders>
            <w:tcMar>
              <w:left w:type="dxa" w:w="0"/>
              <w:right w:type="dxa" w:w="300"/>
            </w:tcMar>
          </w:tcPr>
          <w:p>
            <w:pPr>
              <w:keepNext/>
              <w:pBdr>
                <w:bottom w:val="single" w:color="333333" w:sz="6" w:space="1"/>
              </w:pBdr>
              <w:spacing w:after="40" w:before="400"/>
            </w:pPr>
          </w:p>
          <w:p>
            <w:pPr>
              <w:keepNext/>
              <w:spacing w:after="20"/>
            </w:pPr>
            <w:r>
              <w:rPr>
                <w:rFonts w:ascii="Calibri" w:cs="Calibri" w:eastAsia="Calibri" w:hAnsi="Calibri"/>
                <w:b/>
                <w:bCs/>
                <w:color w:val="222222"/>
                <w:sz w:val="19"/>
                <w:szCs w:val="19"/>
              </w:rPr>
              <w:t xml:space="preserve">Received by (Teacher)</w:t>
            </w:r>
          </w:p>
          <w:p>
            <w:r>
              <w:rPr>
                <w:rFonts w:ascii="Calibri" w:cs="Calibri" w:eastAsia="Calibri" w:hAnsi="Calibri"/>
                <w:color w:val="555555"/>
                <w:sz w:val="18"/>
                <w:szCs w:val="18"/>
              </w:rPr>
              <w:t xml:space="preserve">Name:                                         Date:</w:t>
            </w:r>
          </w:p>
        </w:tc>
      </w:tr>
    </w:tbl>
    <w:sectPr>
      <w:headerReference w:type="default" r:id="rId7"/>
      <w:footerReference w:type="default" r:id="rId8"/>
      <w:pgSz w:w="12240" w:h="15840" w:orient="portrait"/>
      <w:pgMar w:top="1750" w:right="1440" w:bottom="10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i/>
        <w:iCs/>
        <w:color w:val="734B40"/>
        <w:sz w:val="18"/>
        <w:szCs w:val="18"/>
      </w:rPr>
      <w:t xml:space="preserve">Quality Education Since 2003</w:t>
    </w:r>
  </w:p>
  <w:p>
    <w:pPr>
      <w:jc w:val="center"/>
    </w:pPr>
    <w:r>
      <w:rPr>
        <w:rFonts w:ascii="Calibri" w:cs="Calibri" w:eastAsia="Calibri" w:hAnsi="Calibri"/>
        <w:color w:val="555555"/>
        <w:sz w:val="15"/>
        <w:szCs w:val="15"/>
      </w:rPr>
      <w:t xml:space="preserve">Job Description: Part-Time Teacher, Extra Lessons  |  Page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of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638300" cy="638175"/>
                <wp:effectExtent t="0" r="0" b="0" l="0"/>
                <wp:docPr id="1" name="logo" descr="Twalumbu Education Centr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38300" cy="6381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120"/>
          </w:tcMar>
          <w:vAlign w:val="top"/>
        </w:tcPr>
        <w:p>
          <w:pPr>
            <w:spacing w:after="20"/>
            <w:jc w:val="right"/>
          </w:pPr>
          <w:r>
            <w:rPr>
              <w:rFonts w:ascii="Calibri" w:cs="Calibri" w:eastAsia="Calibri" w:hAnsi="Calibri"/>
              <w:color w:val="444444"/>
              <w:spacing w:val="20"/>
              <w:sz w:val="14"/>
              <w:szCs w:val="14"/>
            </w:rPr>
            <w:t xml:space="preserve">PLOT 4521, KABULONGA ROAD, LUSAKA, ZAMBIA</w:t>
          </w:r>
        </w:p>
        <w:p>
          <w:pPr>
            <w:spacing w:after="20"/>
            <w:jc w:val="right"/>
          </w:pPr>
          <w:r>
            <w:rPr>
              <w:rFonts w:ascii="Calibri" w:cs="Calibri" w:eastAsia="Calibri" w:hAnsi="Calibri"/>
              <w:color w:val="444444"/>
              <w:spacing w:val="20"/>
              <w:sz w:val="14"/>
              <w:szCs w:val="14"/>
            </w:rPr>
            <w:t xml:space="preserve">+260 977 000 000</w:t>
          </w:r>
        </w:p>
        <w:p>
          <w:pPr>
            <w:spacing w:after="20"/>
            <w:jc w:val="right"/>
          </w:pPr>
          <w:r>
            <w:rPr>
              <w:rFonts w:ascii="Calibri" w:cs="Calibri" w:eastAsia="Calibri" w:hAnsi="Calibri"/>
              <w:color w:val="444444"/>
              <w:spacing w:val="20"/>
              <w:sz w:val="14"/>
              <w:szCs w:val="14"/>
            </w:rPr>
            <w:t xml:space="preserve">INFO@TWALUMBUEDUCATION.EDU.ZM</w:t>
          </w:r>
        </w:p>
      </w:tc>
    </w:tr>
  </w:tbl>
  <w:p>
    <w:pPr>
      <w:pBdr>
        <w:bottom w:val="single" w:color="333333" w:sz="6"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734B4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0a10ea5c1eb786b16f91a597ffa7a15cd25d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Part-Time Secondary School Teacher, Extra Lessons Programme</dc:title>
  <dc:creator>Twalumbu Education Centre</dc:creator>
  <cp:lastModifiedBy>Un-named</cp:lastModifiedBy>
  <cp:revision>1</cp:revision>
  <dcterms:created xsi:type="dcterms:W3CDTF">2026-09-28T13:53:03.121Z</dcterms:created>
  <dcterms:modified xsi:type="dcterms:W3CDTF">2026-09-28T13:53:03.122Z</dcterms:modified>
</cp:coreProperties>
</file>

<file path=docProps/custom.xml><?xml version="1.0" encoding="utf-8"?>
<Properties xmlns="http://schemas.openxmlformats.org/officeDocument/2006/custom-properties" xmlns:vt="http://schemas.openxmlformats.org/officeDocument/2006/docPropsVTypes"/>
</file>