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E548F" w:sz="18"/>
        </w:pBdr>
        <w:spacing w:after="40"/>
      </w:pPr>
      <w:r>
        <w:rPr>
          <w:rFonts w:ascii="Times New Roman" w:cs="Times New Roman" w:eastAsia="Times New Roman" w:hAnsi="Times New Roman"/>
          <w:b/>
          <w:bCs/>
          <w:color w:val="0E548F"/>
          <w:sz w:val="22"/>
          <w:szCs w:val="22"/>
        </w:rPr>
        <w:t xml:space="preserve">CÔNG TY CHỨNG KHOÁN VBSE</w:t>
      </w:r>
    </w:p>
    <w:p>
      <w:pPr>
        <w:spacing w:after="30" w:before="40"/>
      </w:pPr>
      <w:r>
        <w:rPr>
          <w:rFonts w:ascii="Times New Roman" w:cs="Times New Roman" w:eastAsia="Times New Roman" w:hAnsi="Times New Roman"/>
          <w:color w:val="888888"/>
          <w:sz w:val="20"/>
          <w:szCs w:val="20"/>
        </w:rPr>
        <w:t xml:space="preserve">BÁO CÁO PHÂN TÍCH CHIẾN LƯỢC THỊ TRƯỜNG</w:t>
      </w:r>
    </w:p>
    <w:p>
      <w:pPr>
        <w:spacing w:after="80" w:before="200"/>
      </w:pPr>
      <w:r>
        <w:rPr>
          <w:rFonts w:ascii="Times New Roman" w:cs="Times New Roman" w:eastAsia="Times New Roman" w:hAnsi="Times New Roman"/>
          <w:b/>
          <w:bCs/>
          <w:color w:val="0E548F"/>
          <w:sz w:val="40"/>
          <w:szCs w:val="40"/>
        </w:rPr>
        <w:t xml:space="preserve">Khi chỉ số không còn là thị trường</w:t>
      </w:r>
    </w:p>
    <w:p>
      <w:pPr>
        <w:spacing w:after="60"/>
      </w:pPr>
      <w:r>
        <w:rPr>
          <w:rFonts w:ascii="Times New Roman" w:cs="Times New Roman" w:eastAsia="Times New Roman" w:hAnsi="Times New Roman"/>
          <w:i/>
          <w:iCs/>
          <w:color w:val="555555"/>
          <w:sz w:val="26"/>
          <w:szCs w:val="26"/>
        </w:rPr>
        <w:t xml:space="preserve">VNINDEX thủng đường MA200: nhìn lại tiền lệ, xác định vùng giá hợp lý và đọc dòng tiền</w:t>
      </w:r>
    </w:p>
    <w:p>
      <w:pPr>
        <w:pBdr>
          <w:bottom w:val="single" w:color="D71249" w:sz="8"/>
        </w:pBdr>
        <w:spacing w:after="40"/>
      </w:pPr>
      <w:r>
        <w:rPr>
          <w:sz w:val="4"/>
          <w:szCs w:val="4"/>
        </w:rPr>
        <w:t xml:space="preserve"/>
      </w:r>
    </w:p>
    <w:p>
      <w:pPr>
        <w:keepNext w:val="false"/>
        <w:spacing w:after="40" w:before="0" w:line="276"/>
        <w:jc w:val="left"/>
      </w:pPr>
      <w:r>
        <w:rPr>
          <w:rFonts w:ascii="Times New Roman" w:cs="Times New Roman" w:eastAsia="Times New Roman" w:hAnsi="Times New Roman"/>
          <w:b w:val="false"/>
          <w:bCs w:val="false"/>
          <w:i w:val="false"/>
          <w:iCs w:val="false"/>
          <w:color w:val="555555"/>
          <w:sz w:val="22"/>
          <w:szCs w:val="22"/>
        </w:rPr>
        <w:t xml:space="preserve">Ngày phát hành: </w:t>
      </w:r>
      <w:r>
        <w:rPr>
          <w:rFonts w:ascii="Times New Roman" w:cs="Times New Roman" w:eastAsia="Times New Roman" w:hAnsi="Times New Roman"/>
          <w:b/>
          <w:bCs/>
          <w:i w:val="false"/>
          <w:iCs w:val="false"/>
          <w:color w:val="0E548F"/>
          <w:sz w:val="22"/>
          <w:szCs w:val="22"/>
        </w:rPr>
        <w:t xml:space="preserve">24/07/2026</w:t>
      </w:r>
      <w:r>
        <w:rPr>
          <w:rFonts w:ascii="Times New Roman" w:cs="Times New Roman" w:eastAsia="Times New Roman" w:hAnsi="Times New Roman"/>
          <w:b w:val="false"/>
          <w:bCs w:val="false"/>
          <w:i w:val="false"/>
          <w:iCs w:val="false"/>
          <w:color w:val="555555"/>
          <w:sz w:val="22"/>
          <w:szCs w:val="22"/>
        </w:rPr>
        <w:t xml:space="preserve">     |     Số liệu đến hết phiên: </w:t>
      </w:r>
      <w:r>
        <w:rPr>
          <w:rFonts w:ascii="Times New Roman" w:cs="Times New Roman" w:eastAsia="Times New Roman" w:hAnsi="Times New Roman"/>
          <w:b/>
          <w:bCs/>
          <w:i w:val="false"/>
          <w:iCs w:val="false"/>
          <w:color w:val="0E548F"/>
          <w:sz w:val="22"/>
          <w:szCs w:val="22"/>
        </w:rPr>
        <w:t xml:space="preserve">24/07/2026</w:t>
      </w:r>
    </w:p>
    <w:p>
      <w:pPr>
        <w:keepNext w:val="false"/>
        <w:spacing w:after="240" w:before="0" w:line="276"/>
        <w:jc w:val="left"/>
      </w:pPr>
      <w:r>
        <w:rPr>
          <w:rFonts w:ascii="Times New Roman" w:cs="Times New Roman" w:eastAsia="Times New Roman" w:hAnsi="Times New Roman"/>
          <w:b w:val="false"/>
          <w:bCs w:val="false"/>
          <w:i w:val="false"/>
          <w:iCs w:val="false"/>
          <w:color w:val="555555"/>
          <w:sz w:val="22"/>
          <w:szCs w:val="22"/>
        </w:rPr>
        <w:t xml:space="preserve">Phạm vi nghiên cứu: </w:t>
      </w:r>
      <w:r>
        <w:rPr>
          <w:rFonts w:ascii="Times New Roman" w:cs="Times New Roman" w:eastAsia="Times New Roman" w:hAnsi="Times New Roman"/>
          <w:b w:val="false"/>
          <w:bCs w:val="false"/>
          <w:i w:val="false"/>
          <w:iCs w:val="false"/>
          <w:color w:val="333333"/>
          <w:sz w:val="22"/>
          <w:szCs w:val="22"/>
        </w:rPr>
        <w:t xml:space="preserve">5 lần thủng MA200 đã hoàn tất, giai đoạn cuối 2020 đến nay</w:t>
      </w:r>
    </w:p>
    <w:p>
      <w:pPr>
        <w:pStyle w:val="Heading1"/>
        <w:spacing w:after="140" w:before="320"/>
      </w:pPr>
      <w:r>
        <w:rPr>
          <w:rFonts w:ascii="Times New Roman" w:cs="Times New Roman" w:eastAsia="Times New Roman" w:hAnsi="Times New Roman"/>
          <w:b/>
          <w:bCs/>
          <w:color w:val="0E548F"/>
          <w:sz w:val="30"/>
          <w:szCs w:val="30"/>
        </w:rPr>
        <w:t xml:space="preserve">Tóm tắt cho nhà đầu tư</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Ngày 20/07, VNINDEX đóng cửa dưới đường trung bình 200 phiên (MA200) — mốc mà giới phân tích kỹ thuật thường coi là ranh giới giữa xu hướng tăng dài hạn và trạng thái cảnh báo. Câu hỏi tự nhiên lúc này: thị trường sẽ giảm tới đâu, bao lâu thì hồi, và nên hành động thế nào.</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Báo cáo trả lời ba câu đó qua năm lần thủng tương tự trong sáu năm qua. Nhưng phát hiện giá trị nhất lại nằm ngoài câu hỏi ban đầu: </w:t>
      </w:r>
      <w:r>
        <w:rPr>
          <w:rFonts w:ascii="Times New Roman" w:cs="Times New Roman" w:eastAsia="Times New Roman" w:hAnsi="Times New Roman"/>
          <w:b/>
          <w:bCs/>
          <w:i w:val="false"/>
          <w:iCs w:val="false"/>
          <w:color w:val="0E548F"/>
          <w:sz w:val="26"/>
          <w:szCs w:val="26"/>
        </w:rPr>
        <w:t xml:space="preserve">chỉ số VNINDEX hiện không còn phản ánh trung thực sức khỏe của phần lớn cổ phiếu trên sàn</w:t>
      </w:r>
      <w:r>
        <w:rPr>
          <w:rFonts w:ascii="Times New Roman" w:cs="Times New Roman" w:eastAsia="Times New Roman" w:hAnsi="Times New Roman"/>
          <w:b w:val="false"/>
          <w:bCs w:val="false"/>
          <w:i w:val="false"/>
          <w:iCs w:val="false"/>
          <w:color w:val="333333"/>
          <w:sz w:val="26"/>
          <w:szCs w:val="26"/>
        </w:rPr>
        <w:t xml:space="preserve">, vì một nhóm bốn mã đã phình to tới mức chi phối điểm số. Nắm điều này trước, mọi con số phía sau mới đọc đúng.</w:t>
      </w:r>
    </w:p>
    <w:tbl>
      <w:tblPr>
        <w:tblW w:type="dxa" w:w="9972"/>
        <w:tblBorders>
          <w:top w:val="single" w:color="0E548F" w:sz="6"/>
          <w:left w:val="none"/>
          <w:bottom w:val="single" w:color="0E548F" w:sz="6"/>
          <w:right w:val="none"/>
          <w:insideH w:val="single" w:color="BFCEDE" w:sz="4"/>
          <w:insideV w:val="none"/>
        </w:tblBorders>
      </w:tblPr>
      <w:tblGrid>
        <w:gridCol w:w="700"/>
        <w:gridCol w:w="9272"/>
      </w:tblGrid>
      <w:tr>
        <w:tc>
          <w:tcPr>
            <w:tcW w:type="dxa" w:w="700"/>
            <w:shd w:fill="0E548F" w:color="auto" w:val="clear"/>
            <w:tcMar>
              <w:top w:type="dxa" w:w="80"/>
              <w:left w:type="dxa" w:w="90"/>
              <w:bottom w:type="dxa" w:w="80"/>
              <w:right w:type="dxa" w:w="90"/>
            </w:tcMar>
            <w:vAlign w:val="center"/>
          </w:tcPr>
          <w:p>
            <w:pPr>
              <w:spacing w:after="0"/>
              <w:jc w:val="center"/>
            </w:pPr>
            <w:r>
              <w:rPr>
                <w:rFonts w:ascii="Times New Roman" w:cs="Times New Roman" w:eastAsia="Times New Roman" w:hAnsi="Times New Roman"/>
                <w:b/>
                <w:bCs/>
                <w:color w:val="FFFFFF"/>
                <w:sz w:val="28"/>
                <w:szCs w:val="28"/>
              </w:rPr>
              <w:t xml:space="preserve">1</w:t>
            </w:r>
          </w:p>
        </w:tc>
        <w:tc>
          <w:tcPr>
            <w:tcW w:type="dxa" w:w="9272"/>
            <w:tcMar>
              <w:top w:type="dxa" w:w="80"/>
              <w:left w:type="dxa" w:w="140"/>
              <w:bottom w:type="dxa" w:w="80"/>
              <w:right w:type="dxa" w:w="90"/>
            </w:tcMar>
            <w:vAlign w:val="center"/>
          </w:tcPr>
          <w:p>
            <w:pPr>
              <w:spacing w:after="0" w:line="264"/>
            </w:pPr>
            <w:r>
              <w:rPr>
                <w:rFonts w:ascii="Times New Roman" w:cs="Times New Roman" w:eastAsia="Times New Roman" w:hAnsi="Times New Roman"/>
                <w:b/>
                <w:bCs/>
                <w:color w:val="D71249"/>
                <w:sz w:val="24"/>
                <w:szCs w:val="24"/>
              </w:rPr>
              <w:t xml:space="preserve">Chỉ số đang che bớt thiệt hại. </w:t>
            </w:r>
            <w:r>
              <w:rPr>
                <w:rFonts w:ascii="Times New Roman" w:cs="Times New Roman" w:eastAsia="Times New Roman" w:hAnsi="Times New Roman"/>
                <w:color w:val="333333"/>
                <w:sz w:val="24"/>
                <w:szCs w:val="24"/>
              </w:rPr>
              <w:t xml:space="preserve">VNINDEX mất 12,5% từ đỉnh, nhưng phần cổ phiếu ngoài Vingroup đã mất 13,8%. Danh mục của phần đông nhà đầu tư chịu con số thứ hai.</w:t>
            </w:r>
          </w:p>
        </w:tc>
      </w:tr>
      <w:tr>
        <w:tc>
          <w:tcPr>
            <w:tcW w:type="dxa" w:w="700"/>
            <w:shd w:fill="0E548F" w:color="auto" w:val="clear"/>
            <w:tcMar>
              <w:top w:type="dxa" w:w="80"/>
              <w:left w:type="dxa" w:w="90"/>
              <w:bottom w:type="dxa" w:w="80"/>
              <w:right w:type="dxa" w:w="90"/>
            </w:tcMar>
            <w:vAlign w:val="center"/>
          </w:tcPr>
          <w:p>
            <w:pPr>
              <w:spacing w:after="0"/>
              <w:jc w:val="center"/>
            </w:pPr>
            <w:r>
              <w:rPr>
                <w:rFonts w:ascii="Times New Roman" w:cs="Times New Roman" w:eastAsia="Times New Roman" w:hAnsi="Times New Roman"/>
                <w:b/>
                <w:bCs/>
                <w:color w:val="FFFFFF"/>
                <w:sz w:val="28"/>
                <w:szCs w:val="28"/>
              </w:rPr>
              <w:t xml:space="preserve">2</w:t>
            </w:r>
          </w:p>
        </w:tc>
        <w:tc>
          <w:tcPr>
            <w:tcW w:type="dxa" w:w="9272"/>
            <w:shd w:fill="F2F5F9" w:color="auto" w:val="clear"/>
            <w:tcMar>
              <w:top w:type="dxa" w:w="80"/>
              <w:left w:type="dxa" w:w="140"/>
              <w:bottom w:type="dxa" w:w="80"/>
              <w:right w:type="dxa" w:w="90"/>
            </w:tcMar>
            <w:vAlign w:val="center"/>
          </w:tcPr>
          <w:p>
            <w:pPr>
              <w:spacing w:after="0" w:line="264"/>
            </w:pPr>
            <w:r>
              <w:rPr>
                <w:rFonts w:ascii="Times New Roman" w:cs="Times New Roman" w:eastAsia="Times New Roman" w:hAnsi="Times New Roman"/>
                <w:b/>
                <w:bCs/>
                <w:color w:val="D71249"/>
                <w:sz w:val="24"/>
                <w:szCs w:val="24"/>
              </w:rPr>
              <w:t xml:space="preserve">"Chỉ số về đâu" đã tách làm hai câu hỏi. </w:t>
            </w:r>
            <w:r>
              <w:rPr>
                <w:rFonts w:ascii="Times New Roman" w:cs="Times New Roman" w:eastAsia="Times New Roman" w:hAnsi="Times New Roman"/>
                <w:color w:val="333333"/>
                <w:sz w:val="24"/>
                <w:szCs w:val="24"/>
              </w:rPr>
              <w:t xml:space="preserve">Vingroup đi đâu là một chuyện, phần còn lại đi đâu là chuyện khác — và chúng có thể ngược nhau.</w:t>
            </w:r>
          </w:p>
        </w:tc>
      </w:tr>
      <w:tr>
        <w:tc>
          <w:tcPr>
            <w:tcW w:type="dxa" w:w="700"/>
            <w:shd w:fill="0E548F" w:color="auto" w:val="clear"/>
            <w:tcMar>
              <w:top w:type="dxa" w:w="80"/>
              <w:left w:type="dxa" w:w="90"/>
              <w:bottom w:type="dxa" w:w="80"/>
              <w:right w:type="dxa" w:w="90"/>
            </w:tcMar>
            <w:vAlign w:val="center"/>
          </w:tcPr>
          <w:p>
            <w:pPr>
              <w:spacing w:after="0"/>
              <w:jc w:val="center"/>
            </w:pPr>
            <w:r>
              <w:rPr>
                <w:rFonts w:ascii="Times New Roman" w:cs="Times New Roman" w:eastAsia="Times New Roman" w:hAnsi="Times New Roman"/>
                <w:b/>
                <w:bCs/>
                <w:color w:val="FFFFFF"/>
                <w:sz w:val="28"/>
                <w:szCs w:val="28"/>
              </w:rPr>
              <w:t xml:space="preserve">3</w:t>
            </w:r>
          </w:p>
        </w:tc>
        <w:tc>
          <w:tcPr>
            <w:tcW w:type="dxa" w:w="9272"/>
            <w:tcMar>
              <w:top w:type="dxa" w:w="80"/>
              <w:left w:type="dxa" w:w="140"/>
              <w:bottom w:type="dxa" w:w="80"/>
              <w:right w:type="dxa" w:w="90"/>
            </w:tcMar>
            <w:vAlign w:val="center"/>
          </w:tcPr>
          <w:p>
            <w:pPr>
              <w:spacing w:after="0" w:line="264"/>
            </w:pPr>
            <w:r>
              <w:rPr>
                <w:rFonts w:ascii="Times New Roman" w:cs="Times New Roman" w:eastAsia="Times New Roman" w:hAnsi="Times New Roman"/>
                <w:b/>
                <w:bCs/>
                <w:color w:val="D71249"/>
                <w:sz w:val="24"/>
                <w:szCs w:val="24"/>
              </w:rPr>
              <w:t xml:space="preserve">Vùng đáy hợp lý 1.590 – 1.670 điểm, nhưng định giá chưa rẻ. </w:t>
            </w:r>
            <w:r>
              <w:rPr>
                <w:rFonts w:ascii="Times New Roman" w:cs="Times New Roman" w:eastAsia="Times New Roman" w:hAnsi="Times New Roman"/>
                <w:color w:val="333333"/>
                <w:sz w:val="24"/>
                <w:szCs w:val="24"/>
              </w:rPr>
              <w:t xml:space="preserve">Đáy tạm 1.668 đã chạm mép trên vùng này; P/E 12,7 lần vẫn cao hơn hầu hết đáy lịch sử.</w:t>
            </w:r>
          </w:p>
        </w:tc>
      </w:tr>
      <w:tr>
        <w:tc>
          <w:tcPr>
            <w:tcW w:type="dxa" w:w="700"/>
            <w:shd w:fill="0E548F" w:color="auto" w:val="clear"/>
            <w:tcMar>
              <w:top w:type="dxa" w:w="80"/>
              <w:left w:type="dxa" w:w="90"/>
              <w:bottom w:type="dxa" w:w="80"/>
              <w:right w:type="dxa" w:w="90"/>
            </w:tcMar>
            <w:vAlign w:val="center"/>
          </w:tcPr>
          <w:p>
            <w:pPr>
              <w:spacing w:after="0"/>
              <w:jc w:val="center"/>
            </w:pPr>
            <w:r>
              <w:rPr>
                <w:rFonts w:ascii="Times New Roman" w:cs="Times New Roman" w:eastAsia="Times New Roman" w:hAnsi="Times New Roman"/>
                <w:b/>
                <w:bCs/>
                <w:color w:val="FFFFFF"/>
                <w:sz w:val="28"/>
                <w:szCs w:val="28"/>
              </w:rPr>
              <w:t xml:space="preserve">4</w:t>
            </w:r>
          </w:p>
        </w:tc>
        <w:tc>
          <w:tcPr>
            <w:tcW w:type="dxa" w:w="9272"/>
            <w:shd w:fill="F2F5F9" w:color="auto" w:val="clear"/>
            <w:tcMar>
              <w:top w:type="dxa" w:w="80"/>
              <w:left w:type="dxa" w:w="140"/>
              <w:bottom w:type="dxa" w:w="80"/>
              <w:right w:type="dxa" w:w="90"/>
            </w:tcMar>
            <w:vAlign w:val="center"/>
          </w:tcPr>
          <w:p>
            <w:pPr>
              <w:spacing w:after="0" w:line="264"/>
            </w:pPr>
            <w:r>
              <w:rPr>
                <w:rFonts w:ascii="Times New Roman" w:cs="Times New Roman" w:eastAsia="Times New Roman" w:hAnsi="Times New Roman"/>
                <w:b/>
                <w:bCs/>
                <w:color w:val="D71249"/>
                <w:sz w:val="24"/>
                <w:szCs w:val="24"/>
              </w:rPr>
              <w:t xml:space="preserve">Lực đỡ là dòng tiền nội, nhưng chưa thấy tín hiệu bắt đáy. </w:t>
            </w:r>
            <w:r>
              <w:rPr>
                <w:rFonts w:ascii="Times New Roman" w:cs="Times New Roman" w:eastAsia="Times New Roman" w:hAnsi="Times New Roman"/>
                <w:color w:val="333333"/>
                <w:sz w:val="24"/>
                <w:szCs w:val="24"/>
              </w:rPr>
              <w:t xml:space="preserve">Khối ngoại bán ròng 86 nghìn tỷ trong 30 tuần; nhà đầu tư trong nước gánh trọn.</w:t>
            </w:r>
          </w:p>
        </w:tc>
      </w:tr>
    </w:tbl>
    <w:p>
      <w:pPr>
        <w:keepNext w:val="false"/>
        <w:spacing w:after="120" w:before="160" w:line="276"/>
        <w:jc w:val="both"/>
      </w:pPr>
      <w:r>
        <w:rPr>
          <w:rFonts w:ascii="Times New Roman" w:cs="Times New Roman" w:eastAsia="Times New Roman" w:hAnsi="Times New Roman"/>
          <w:b/>
          <w:bCs/>
          <w:i w:val="false"/>
          <w:iCs w:val="false"/>
          <w:color w:val="0E548F"/>
          <w:sz w:val="26"/>
          <w:szCs w:val="26"/>
        </w:rPr>
        <w:t xml:space="preserve">Luận điểm trung tâm: </w:t>
      </w:r>
      <w:r>
        <w:rPr>
          <w:rFonts w:ascii="Times New Roman" w:cs="Times New Roman" w:eastAsia="Times New Roman" w:hAnsi="Times New Roman"/>
          <w:b w:val="false"/>
          <w:bCs w:val="false"/>
          <w:i w:val="false"/>
          <w:iCs w:val="false"/>
          <w:color w:val="333333"/>
          <w:sz w:val="26"/>
          <w:szCs w:val="26"/>
        </w:rPr>
        <w:t xml:space="preserve">câu hỏi "VNINDEX giảm về đâu" đã trở thành hai câu hỏi độc lập — nhóm Vingroup đi đâu, và mặt bằng còn lại đi đâu. Gộp hai cấu phần này vào một con số điểm số sẽ cho kết luận sai về cả biên độ giảm lẫn rủi ro danh mục.</w:t>
      </w:r>
    </w:p>
    <w:p>
      <w:r>
        <w:br w:type="page"/>
      </w:r>
    </w:p>
    <w:p>
      <w:pPr>
        <w:pStyle w:val="Heading1"/>
        <w:spacing w:after="140" w:before="320"/>
      </w:pPr>
      <w:r>
        <w:rPr>
          <w:rFonts w:ascii="Times New Roman" w:cs="Times New Roman" w:eastAsia="Times New Roman" w:hAnsi="Times New Roman"/>
          <w:b/>
          <w:bCs/>
          <w:color w:val="0E548F"/>
          <w:sz w:val="30"/>
          <w:szCs w:val="30"/>
        </w:rPr>
        <w:t xml:space="preserve">Phần 1. Vì sao chỉ số không còn đại diện cho thị trường</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Đây là điểm phải nắm trước tiên, vì nó quyết định cách đọc mọi con số còn lại.</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VNINDEX là chỉ số tính theo vốn hóa: mã nào vốn hóa càng lớn thì ảnh hưởng lên điểm số càng nhiều. Cơ chế này bình thường không thành vấn đề, cho tới khi một nhóm cổ phiếu phình to bất thường.</w:t>
      </w:r>
    </w:p>
    <w:p>
      <w:pPr>
        <w:keepNext/>
        <w:keepLines/>
        <w:spacing w:after="80" w:before="180"/>
      </w:pPr>
      <w:r>
        <w:rPr>
          <w:rFonts w:ascii="Times New Roman" w:cs="Times New Roman" w:eastAsia="Times New Roman" w:hAnsi="Times New Roman"/>
          <w:b/>
          <w:bCs/>
          <w:color w:val="0E548F"/>
          <w:sz w:val="26"/>
          <w:szCs w:val="26"/>
        </w:rPr>
        <w:t xml:space="preserve">Bảng 1 — Tỷ trọng nhóm Vingroup qua các lần thủng MA200</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2772"/>
        <w:gridCol w:w="1200"/>
        <w:gridCol w:w="1200"/>
        <w:gridCol w:w="1200"/>
        <w:gridCol w:w="1200"/>
        <w:gridCol w:w="1200"/>
        <w:gridCol w:w="1200"/>
      </w:tblGrid>
      <w:tr>
        <w:trPr>
          <w:tblHeader/>
        </w:trPr>
        <w:tc>
          <w:tcPr>
            <w:tcW w:type="dxa" w:w="2772"/>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Thời điểm</w:t>
            </w:r>
          </w:p>
        </w:tc>
        <w:tc>
          <w:tcPr>
            <w:tcW w:type="dxa" w:w="12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04/2022</w:t>
            </w:r>
          </w:p>
        </w:tc>
        <w:tc>
          <w:tcPr>
            <w:tcW w:type="dxa" w:w="12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10/2023</w:t>
            </w:r>
          </w:p>
        </w:tc>
        <w:tc>
          <w:tcPr>
            <w:tcW w:type="dxa" w:w="12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11/2024</w:t>
            </w:r>
          </w:p>
        </w:tc>
        <w:tc>
          <w:tcPr>
            <w:tcW w:type="dxa" w:w="12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04/2025</w:t>
            </w:r>
          </w:p>
        </w:tc>
        <w:tc>
          <w:tcPr>
            <w:tcW w:type="dxa" w:w="12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03/2026</w:t>
            </w:r>
          </w:p>
        </w:tc>
        <w:tc>
          <w:tcPr>
            <w:tcW w:type="dxa" w:w="12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07/2026</w:t>
            </w:r>
          </w:p>
        </w:tc>
      </w:tr>
      <w:tr>
        <w:trPr>
          <w:cantSplit/>
        </w:trPr>
        <w:tc>
          <w:tcPr>
            <w:tcW w:type="dxa" w:w="2772"/>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VIC + VHM + VRE + VPL</w:t>
            </w:r>
          </w:p>
        </w:tc>
        <w:tc>
          <w:tcPr>
            <w:tcW w:type="dxa" w:w="12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9,9%</w:t>
            </w:r>
          </w:p>
        </w:tc>
        <w:tc>
          <w:tcPr>
            <w:tcW w:type="dxa" w:w="12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8,5%</w:t>
            </w:r>
          </w:p>
        </w:tc>
        <w:tc>
          <w:tcPr>
            <w:tcW w:type="dxa" w:w="12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6,1%</w:t>
            </w:r>
          </w:p>
        </w:tc>
        <w:tc>
          <w:tcPr>
            <w:tcW w:type="dxa" w:w="12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7,6%</w:t>
            </w:r>
          </w:p>
        </w:tc>
        <w:tc>
          <w:tcPr>
            <w:tcW w:type="dxa" w:w="12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20,0%</w:t>
            </w:r>
          </w:p>
        </w:tc>
        <w:tc>
          <w:tcPr>
            <w:tcW w:type="dxa" w:w="12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27,8%</w:t>
            </w:r>
          </w:p>
        </w:tc>
      </w:tr>
    </w:tbl>
    <w:p>
      <w:pPr>
        <w:spacing w:after="80" w:before="60"/>
      </w:pPr>
      <w:r>
        <w:rPr>
          <w:rFonts w:ascii="Times New Roman" w:cs="Times New Roman" w:eastAsia="Times New Roman" w:hAnsi="Times New Roman"/>
          <w:i/>
          <w:iCs/>
          <w:color w:val="666666"/>
          <w:sz w:val="22"/>
          <w:szCs w:val="22"/>
        </w:rPr>
        <w:t xml:space="preserve">Nguồn: dữ liệu vốn hóa trong hệ thống, tính trên cả ba sàn nên thấp hơn tỷ trọng thật trong riêng VNINDEX (ước 30–31%).</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Cuối 2024, bốn mã này chỉ chiếm 6,1% thị trường. Đến nay là </w:t>
      </w:r>
      <w:r>
        <w:rPr>
          <w:rFonts w:ascii="Times New Roman" w:cs="Times New Roman" w:eastAsia="Times New Roman" w:hAnsi="Times New Roman"/>
          <w:b/>
          <w:bCs/>
          <w:i w:val="false"/>
          <w:iCs w:val="false"/>
          <w:color w:val="D71249"/>
          <w:sz w:val="26"/>
          <w:szCs w:val="26"/>
        </w:rPr>
        <w:t xml:space="preserve">27,8%</w:t>
      </w:r>
      <w:r>
        <w:rPr>
          <w:rFonts w:ascii="Times New Roman" w:cs="Times New Roman" w:eastAsia="Times New Roman" w:hAnsi="Times New Roman"/>
          <w:b w:val="false"/>
          <w:bCs w:val="false"/>
          <w:i w:val="false"/>
          <w:iCs w:val="false"/>
          <w:color w:val="333333"/>
          <w:sz w:val="26"/>
          <w:szCs w:val="26"/>
        </w:rPr>
        <w:t xml:space="preserve"> — tăng gấp bốn lần rưỡi trong hai mươi tháng, do cổ phiếu Vingroup tăng giá mạnh năm 2025 cộng thêm mã VPL mới lên sàn.</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Ý nghĩa: </w:t>
      </w:r>
      <w:r>
        <w:rPr>
          <w:rFonts w:ascii="Times New Roman" w:cs="Times New Roman" w:eastAsia="Times New Roman" w:hAnsi="Times New Roman"/>
          <w:b/>
          <w:bCs/>
          <w:i w:val="false"/>
          <w:iCs w:val="false"/>
          <w:color w:val="0E548F"/>
          <w:sz w:val="26"/>
          <w:szCs w:val="26"/>
        </w:rPr>
        <w:t xml:space="preserve">cứ bốn đồng vốn hóa trên thị trường thì hơn một đồng nằm ở bốn mã cùng một tập đoàn.</w:t>
      </w:r>
      <w:r>
        <w:rPr>
          <w:rFonts w:ascii="Times New Roman" w:cs="Times New Roman" w:eastAsia="Times New Roman" w:hAnsi="Times New Roman"/>
          <w:b w:val="false"/>
          <w:bCs w:val="false"/>
          <w:i w:val="false"/>
          <w:iCs w:val="false"/>
          <w:color w:val="333333"/>
          <w:sz w:val="26"/>
          <w:szCs w:val="26"/>
        </w:rPr>
        <w:t xml:space="preserve"> Khi đó điểm số chỉ số phụ thuộc rất nhiều vào riêng nhóm này, và có thể lệch hẳn khỏi diễn biến của mấy trăm mã còn lại.</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Phiên 12/01/2026 là ví dụ rõ nhất: VHM và VRE giảm kịch sàn, VIC giảm gần 7%, vậy mà VNINDEX vẫn đóng cửa tăng 0,5%. Phần còn lại của thị trường hôm ấy tăng đủ mạnh để bù, nhưng nhìn vào chỉ số thì không ai thấy được điều đó.</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Nhịp giảm hiện tại cho thấy chiều ngược lại — và đây mới là phần quan trọng với nhà đầu tư.</w:t>
      </w:r>
    </w:p>
    <w:p>
      <w:pPr>
        <w:keepNext/>
        <w:keepLines/>
        <w:spacing w:after="80" w:before="180"/>
      </w:pPr>
      <w:r>
        <w:rPr>
          <w:rFonts w:ascii="Times New Roman" w:cs="Times New Roman" w:eastAsia="Times New Roman" w:hAnsi="Times New Roman"/>
          <w:b/>
          <w:bCs/>
          <w:color w:val="0E548F"/>
          <w:sz w:val="26"/>
          <w:szCs w:val="26"/>
        </w:rPr>
        <w:t xml:space="preserve">Bảng 2 — Phân rã nhịp giảm từ đỉnh 18/05 đến 24/07</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3600"/>
        <w:gridCol w:w="2000"/>
        <w:gridCol w:w="4372"/>
      </w:tblGrid>
      <w:tr>
        <w:trPr>
          <w:tblHeader/>
        </w:trPr>
        <w:tc>
          <w:tcPr>
            <w:tcW w:type="dxa" w:w="36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Cấu phần</w:t>
            </w:r>
          </w:p>
        </w:tc>
        <w:tc>
          <w:tcPr>
            <w:tcW w:type="dxa" w:w="200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Mức giảm</w:t>
            </w:r>
          </w:p>
        </w:tc>
        <w:tc>
          <w:tcPr>
            <w:tcW w:type="dxa" w:w="437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Ghi chú</w:t>
            </w:r>
          </w:p>
        </w:tc>
      </w:tr>
      <w:tr>
        <w:trPr>
          <w:cantSplit/>
        </w:trPr>
        <w:tc>
          <w:tcPr>
            <w:tcW w:type="dxa" w:w="3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VNINDEX (bảng điện)</w:t>
            </w:r>
          </w:p>
        </w:tc>
        <w:tc>
          <w:tcPr>
            <w:tcW w:type="dxa" w:w="20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−12,5%</w:t>
            </w:r>
          </w:p>
        </w:tc>
        <w:tc>
          <w:tcPr>
            <w:tcW w:type="dxa" w:w="437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Từ 1.927,9 xuống 1.686,1</w:t>
            </w:r>
          </w:p>
        </w:tc>
      </w:tr>
      <w:tr>
        <w:trPr>
          <w:cantSplit/>
        </w:trPr>
        <w:tc>
          <w:tcPr>
            <w:tcW w:type="dxa" w:w="3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Riêng nhóm Vingroup</w:t>
            </w:r>
          </w:p>
        </w:tc>
        <w:tc>
          <w:tcPr>
            <w:tcW w:type="dxa" w:w="200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−8,5%</w:t>
            </w:r>
          </w:p>
        </w:tc>
        <w:tc>
          <w:tcPr>
            <w:tcW w:type="dxa" w:w="437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Kéo chỉ số giảm chậm hơn thực tế</w:t>
            </w:r>
          </w:p>
        </w:tc>
      </w:tr>
      <w:tr>
        <w:trPr>
          <w:cantSplit/>
        </w:trPr>
        <w:tc>
          <w:tcPr>
            <w:tcW w:type="dxa" w:w="3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Toàn bộ phần còn lại</w:t>
            </w:r>
          </w:p>
        </w:tc>
        <w:tc>
          <w:tcPr>
            <w:tcW w:type="dxa" w:w="20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C62828"/>
                <w:sz w:val="24"/>
                <w:szCs w:val="24"/>
              </w:rPr>
              <w:t xml:space="preserve">−13,8%</w:t>
            </w:r>
          </w:p>
        </w:tc>
        <w:tc>
          <w:tcPr>
            <w:tcW w:type="dxa" w:w="437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Tương đương chỉ số ở mức 1.662</w:t>
            </w:r>
          </w:p>
        </w:tc>
      </w:tr>
      <w:tr>
        <w:trPr>
          <w:cantSplit/>
        </w:trPr>
        <w:tc>
          <w:tcPr>
            <w:tcW w:type="dxa" w:w="3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   trong đó: VIC</w:t>
            </w:r>
          </w:p>
        </w:tc>
        <w:tc>
          <w:tcPr>
            <w:tcW w:type="dxa" w:w="200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−5,3%</w:t>
            </w:r>
          </w:p>
        </w:tc>
        <w:tc>
          <w:tcPr>
            <w:tcW w:type="dxa" w:w="437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Mã lớn nhất, giảm ít nhất</w:t>
            </w:r>
          </w:p>
        </w:tc>
      </w:tr>
      <w:tr>
        <w:trPr>
          <w:cantSplit/>
        </w:trPr>
        <w:tc>
          <w:tcPr>
            <w:tcW w:type="dxa" w:w="3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   VHM</w:t>
            </w:r>
          </w:p>
        </w:tc>
        <w:tc>
          <w:tcPr>
            <w:tcW w:type="dxa" w:w="20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−12,3%</w:t>
            </w:r>
          </w:p>
        </w:tc>
        <w:tc>
          <w:tcPr>
            <w:tcW w:type="dxa" w:w="437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
            </w:r>
          </w:p>
        </w:tc>
      </w:tr>
      <w:tr>
        <w:trPr>
          <w:cantSplit/>
        </w:trPr>
        <w:tc>
          <w:tcPr>
            <w:tcW w:type="dxa" w:w="3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   VPL</w:t>
            </w:r>
          </w:p>
        </w:tc>
        <w:tc>
          <w:tcPr>
            <w:tcW w:type="dxa" w:w="200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−17,6%</w:t>
            </w:r>
          </w:p>
        </w:tc>
        <w:tc>
          <w:tcPr>
            <w:tcW w:type="dxa" w:w="437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
            </w:r>
          </w:p>
        </w:tc>
      </w:tr>
      <w:tr>
        <w:trPr>
          <w:cantSplit/>
        </w:trPr>
        <w:tc>
          <w:tcPr>
            <w:tcW w:type="dxa" w:w="3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   VRE</w:t>
            </w:r>
          </w:p>
        </w:tc>
        <w:tc>
          <w:tcPr>
            <w:tcW w:type="dxa" w:w="200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−31,5%</w:t>
            </w:r>
          </w:p>
        </w:tc>
        <w:tc>
          <w:tcPr>
            <w:tcW w:type="dxa" w:w="437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Giảm sâu nhất nhóm</w:t>
            </w:r>
          </w:p>
        </w:tc>
      </w:tr>
    </w:tbl>
    <w:p>
      <w:pPr>
        <w:spacing w:after="80" w:before="60"/>
      </w:pPr>
      <w:r>
        <w:rPr>
          <w:rFonts w:ascii="Times New Roman" w:cs="Times New Roman" w:eastAsia="Times New Roman" w:hAnsi="Times New Roman"/>
          <w:i/>
          <w:iCs/>
          <w:color w:val="666666"/>
          <w:sz w:val="22"/>
          <w:szCs w:val="22"/>
        </w:rPr>
        <w:t xml:space="preserve">Nguồn: tính từ vốn hóa đầu kỳ và cuối kỳ; giả định lượng cổ phiếu lưu hành không đổi trong kỳ.</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Bảng điện báo thị trường mất 12,5%, nhưng một danh mục cổ phiếu thông thường, không nắm nhóm Vingroup, thực tế đã mất </w:t>
      </w:r>
      <w:r>
        <w:rPr>
          <w:rFonts w:ascii="Times New Roman" w:cs="Times New Roman" w:eastAsia="Times New Roman" w:hAnsi="Times New Roman"/>
          <w:b/>
          <w:bCs/>
          <w:i w:val="false"/>
          <w:iCs w:val="false"/>
          <w:color w:val="D71249"/>
          <w:sz w:val="26"/>
          <w:szCs w:val="26"/>
        </w:rPr>
        <w:t xml:space="preserve">13,8%</w:t>
      </w:r>
      <w:r>
        <w:rPr>
          <w:rFonts w:ascii="Times New Roman" w:cs="Times New Roman" w:eastAsia="Times New Roman" w:hAnsi="Times New Roman"/>
          <w:b w:val="false"/>
          <w:bCs w:val="false"/>
          <w:i w:val="false"/>
          <w:iCs w:val="false"/>
          <w:color w:val="333333"/>
          <w:sz w:val="26"/>
          <w:szCs w:val="26"/>
        </w:rPr>
        <w:t xml:space="preserve">. Chênh lệch bắt nguồn từ chỗ VIC — mã nặng ký nhất — mới chỉ giảm 5,3%, trong khi VRE cùng nhà đã mất gần một phần ba.</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Rủi ro cụ thể: </w:t>
      </w:r>
      <w:r>
        <w:rPr>
          <w:rFonts w:ascii="Times New Roman" w:cs="Times New Roman" w:eastAsia="Times New Roman" w:hAnsi="Times New Roman"/>
          <w:b/>
          <w:bCs/>
          <w:i w:val="false"/>
          <w:iCs w:val="false"/>
          <w:color w:val="0E548F"/>
          <w:sz w:val="26"/>
          <w:szCs w:val="26"/>
        </w:rPr>
        <w:t xml:space="preserve">nếu VIC bắt đầu giảm về mức tương đương phần còn lại, chỉ số sẽ rơi nhanh mà mặt bằng cổ phiếu chưa chắc xấu thêm.</w:t>
      </w:r>
      <w:r>
        <w:rPr>
          <w:rFonts w:ascii="Times New Roman" w:cs="Times New Roman" w:eastAsia="Times New Roman" w:hAnsi="Times New Roman"/>
          <w:b w:val="false"/>
          <w:bCs w:val="false"/>
          <w:i w:val="false"/>
          <w:iCs w:val="false"/>
          <w:color w:val="333333"/>
          <w:sz w:val="26"/>
          <w:szCs w:val="26"/>
        </w:rPr>
        <w:t xml:space="preserve"> Ngược lại, nếu VIC được giữ giá, chỉ số sẽ trông vững hơn tình trạng thật của danh mục. Cả hai chiều đều khiến việc nhìn riêng điểm số để đánh giá thị trường trở nên sai lệch.</w:t>
      </w:r>
    </w:p>
    <w:p>
      <w:pPr>
        <w:keepNext w:val="false"/>
        <w:spacing w:after="120" w:before="60" w:line="276"/>
        <w:jc w:val="both"/>
      </w:pPr>
      <w:r>
        <w:rPr>
          <w:rFonts w:ascii="Times New Roman" w:cs="Times New Roman" w:eastAsia="Times New Roman" w:hAnsi="Times New Roman"/>
          <w:b w:val="false"/>
          <w:bCs w:val="false"/>
          <w:i/>
          <w:iCs/>
          <w:color w:val="666666"/>
          <w:sz w:val="22"/>
          <w:szCs w:val="22"/>
        </w:rPr>
        <w:t xml:space="preserve">Kiểm chứng: dựng lại mức giảm chỉ số từ vốn hóa từng mã cho ra −12,4%, so với −12,5% thực tế — lệch 0,1 điểm phần trăm. Sai số đủ nhỏ để khẳng định cách tính trong báo cáo phản ánh đúng cơ chế vận hành của chỉ số.</w:t>
      </w:r>
    </w:p>
    <w:p>
      <w:r>
        <w:br w:type="page"/>
      </w:r>
    </w:p>
    <w:p>
      <w:pPr>
        <w:pStyle w:val="Heading1"/>
        <w:spacing w:after="140" w:before="320"/>
      </w:pPr>
      <w:r>
        <w:rPr>
          <w:rFonts w:ascii="Times New Roman" w:cs="Times New Roman" w:eastAsia="Times New Roman" w:hAnsi="Times New Roman"/>
          <w:b/>
          <w:bCs/>
          <w:color w:val="0E548F"/>
          <w:sz w:val="30"/>
          <w:szCs w:val="30"/>
        </w:rPr>
        <w:t xml:space="preserve">Phần 2. Năm lần thủng MA200 trong quá khứ</w:t>
      </w:r>
    </w:p>
    <w:p>
      <w:pPr>
        <w:pStyle w:val="Heading2"/>
        <w:spacing w:after="100" w:before="220"/>
      </w:pPr>
      <w:r>
        <w:rPr>
          <w:rFonts w:ascii="Times New Roman" w:cs="Times New Roman" w:eastAsia="Times New Roman" w:hAnsi="Times New Roman"/>
          <w:b/>
          <w:bCs/>
          <w:color w:val="0E548F"/>
          <w:sz w:val="26"/>
          <w:szCs w:val="26"/>
        </w:rPr>
        <w:t xml:space="preserve">Cách xác định một lần thủng</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Không phải cứ chỉ số chạm xuống dưới MA200 là tính một lần. Đếm kiểu đó, sáu năm qua có tới 16 lần cắt xuống, phần lớn là nhiễu — cắt xuống rồi bật lên ngay trong một hai phiên. Báo cáo chỉ ghi nhận một lần thủng thật khi chỉ số đóng cửa dưới MA200 từ ba phiên liên tiếp trở lên, hoặc thủng sâu quá 2%. Hai nhịp gần nhau dưới 20 phiên được gộp làm một. Lọc như vậy còn lại năm lần đã hoàn tất và một lần đang diễn ra.</w:t>
      </w:r>
    </w:p>
    <w:p>
      <w:pPr>
        <w:keepNext/>
        <w:keepLines/>
        <w:spacing w:after="80" w:before="180"/>
      </w:pPr>
      <w:r>
        <w:rPr>
          <w:rFonts w:ascii="Times New Roman" w:cs="Times New Roman" w:eastAsia="Times New Roman" w:hAnsi="Times New Roman"/>
          <w:b/>
          <w:bCs/>
          <w:color w:val="0E548F"/>
          <w:sz w:val="26"/>
          <w:szCs w:val="26"/>
        </w:rPr>
        <w:t xml:space="preserve">Bảng 3 — Chi tiết năm lần thủng</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3000"/>
        <w:gridCol w:w="1162"/>
        <w:gridCol w:w="1162"/>
        <w:gridCol w:w="1162"/>
        <w:gridCol w:w="1162"/>
        <w:gridCol w:w="1162"/>
        <w:gridCol w:w="1162"/>
      </w:tblGrid>
      <w:tr>
        <w:trPr>
          <w:tblHeader/>
        </w:trPr>
        <w:tc>
          <w:tcPr>
            <w:tcW w:type="dxa" w:w="30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Chỉ tiêu</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1</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2</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3</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4</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5</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Hiện tại</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Ngày thủng</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19/04/22</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18/10/23</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08/11/24</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03/04/25</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20/03/26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20/07/26</w:t>
            </w:r>
          </w:p>
        </w:tc>
      </w:tr>
      <w:tr>
        <w:trPr>
          <w:cantSplit/>
        </w:trPr>
        <w:tc>
          <w:tcPr>
            <w:tcW w:type="dxa" w:w="3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Đỉnh trước đó</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1.528,6</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1.245,5</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1.301,5</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1.336,3</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1.902,9</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1.927,9</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Đáy đóng cửa</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911,9</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1.028,2</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1.205,2</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1.094,3</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1.591,2</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1.668,5*</w:t>
            </w:r>
          </w:p>
        </w:tc>
      </w:tr>
      <w:tr>
        <w:trPr>
          <w:cantSplit/>
        </w:trPr>
        <w:tc>
          <w:tcPr>
            <w:tcW w:type="dxa" w:w="3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Giảm từ đỉnh</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40,4%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17,4%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7,4%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18,1%</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16,4%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13,5%*</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Thủng sâu nhất</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28,4%</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7,7%</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4,0%</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13,6%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3,6%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5,9%*</w:t>
            </w:r>
          </w:p>
        </w:tc>
      </w:tr>
      <w:tr>
        <w:trPr>
          <w:cantSplit/>
        </w:trPr>
        <w:tc>
          <w:tcPr>
            <w:tcW w:type="dxa" w:w="3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Số phiên dưới MA200</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279</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43</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36</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21</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5</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Số phiên tới đáy</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146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7</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w:t>
            </w:r>
          </w:p>
        </w:tc>
      </w:tr>
      <w:tr>
        <w:trPr>
          <w:cantSplit/>
        </w:trPr>
        <w:tc>
          <w:tcPr>
            <w:tcW w:type="dxa" w:w="3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Phiên từ đáy → lại MA200</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133</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42</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49</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18</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Phiên từ đáy → vượt đỉnh cũ</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670</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80</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63</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31</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30</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w:t>
            </w:r>
          </w:p>
        </w:tc>
      </w:tr>
    </w:tbl>
    <w:p>
      <w:pPr>
        <w:spacing w:after="80" w:before="60"/>
      </w:pPr>
      <w:r>
        <w:rPr>
          <w:rFonts w:ascii="Times New Roman" w:cs="Times New Roman" w:eastAsia="Times New Roman" w:hAnsi="Times New Roman"/>
          <w:i/>
          <w:iCs/>
          <w:color w:val="666666"/>
          <w:sz w:val="22"/>
          <w:szCs w:val="22"/>
        </w:rPr>
        <w:t xml:space="preserve">* Số tạm tính, lần hiện tại chưa kết thúc. Nguồn: chuỗi lịch sử chỉ số trong hệ thống.</w:t>
      </w:r>
    </w:p>
    <w:p>
      <w:pPr>
        <w:keepNext/>
        <w:keepLines/>
        <w:spacing w:after="80" w:before="180"/>
      </w:pPr>
      <w:r>
        <w:rPr>
          <w:rFonts w:ascii="Times New Roman" w:cs="Times New Roman" w:eastAsia="Times New Roman" w:hAnsi="Times New Roman"/>
          <w:b/>
          <w:bCs/>
          <w:color w:val="0E548F"/>
          <w:sz w:val="26"/>
          <w:szCs w:val="26"/>
        </w:rPr>
        <w:t xml:space="preserve">Bảng 4 — Bối cảnh định giá và thanh khoản tại mỗi lần</w:t>
      </w:r>
    </w:p>
    <w:p>
      <w:pPr>
        <w:keepNext w:val="false"/>
        <w:spacing w:after="100" w:before="0" w:line="276"/>
        <w:jc w:val="both"/>
      </w:pPr>
      <w:r>
        <w:rPr>
          <w:rFonts w:ascii="Times New Roman" w:cs="Times New Roman" w:eastAsia="Times New Roman" w:hAnsi="Times New Roman"/>
          <w:b w:val="false"/>
          <w:bCs w:val="false"/>
          <w:i w:val="false"/>
          <w:iCs w:val="false"/>
          <w:color w:val="333333"/>
          <w:sz w:val="26"/>
          <w:szCs w:val="26"/>
        </w:rPr>
        <w:t xml:space="preserve">Bổ sung hai lăng kính mà bảng giá đơn thuần không cho thấy: thị trường đắt hay rẻ tại đáy, và phiên thủng có đi kèm bán tháo hay không.</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3000"/>
        <w:gridCol w:w="1162"/>
        <w:gridCol w:w="1162"/>
        <w:gridCol w:w="1162"/>
        <w:gridCol w:w="1162"/>
        <w:gridCol w:w="1162"/>
        <w:gridCol w:w="1162"/>
      </w:tblGrid>
      <w:tr>
        <w:trPr>
          <w:tblHeader/>
        </w:trPr>
        <w:tc>
          <w:tcPr>
            <w:tcW w:type="dxa" w:w="30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Chỉ tiêu</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1</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2</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3</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4</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Lần 5</w:t>
            </w:r>
          </w:p>
        </w:tc>
        <w:tc>
          <w:tcPr>
            <w:tcW w:type="dxa" w:w="116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Hiện tại</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P/E thị trường tại đáy</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9,5</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10,6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12,4</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10,3</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12,8</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12,7</w:t>
            </w:r>
          </w:p>
        </w:tc>
      </w:tr>
      <w:tr>
        <w:trPr>
          <w:cantSplit/>
        </w:trPr>
        <w:tc>
          <w:tcPr>
            <w:tcW w:type="dxa" w:w="3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P/B thị trường tại đáy</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1,50</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1,49</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1,56</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1,33</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1,79</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1,82</w:t>
            </w:r>
          </w:p>
        </w:tc>
      </w:tr>
      <w:tr>
        <w:trPr>
          <w:cantSplit/>
        </w:trPr>
        <w:tc>
          <w:tcPr>
            <w:tcW w:type="dxa" w:w="3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KL phiên thủng (triệu cp)</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666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931</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503</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1.717</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856</w:t>
            </w:r>
          </w:p>
        </w:tc>
        <w:tc>
          <w:tcPr>
            <w:tcW w:type="dxa" w:w="116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789</w:t>
            </w:r>
          </w:p>
        </w:tc>
      </w:tr>
      <w:tr>
        <w:trPr>
          <w:cantSplit/>
        </w:trPr>
        <w:tc>
          <w:tcPr>
            <w:tcW w:type="dxa" w:w="3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So với trung bình 20 phiên</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0,89</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1,31</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0,94</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2,15</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0,88</w:t>
            </w:r>
          </w:p>
        </w:tc>
        <w:tc>
          <w:tcPr>
            <w:tcW w:type="dxa" w:w="116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1,52</w:t>
            </w:r>
          </w:p>
        </w:tc>
      </w:tr>
    </w:tbl>
    <w:p>
      <w:pPr>
        <w:spacing w:after="80" w:before="60"/>
      </w:pPr>
      <w:r>
        <w:rPr>
          <w:rFonts w:ascii="Times New Roman" w:cs="Times New Roman" w:eastAsia="Times New Roman" w:hAnsi="Times New Roman"/>
          <w:i/>
          <w:iCs/>
          <w:color w:val="666666"/>
          <w:sz w:val="22"/>
          <w:szCs w:val="22"/>
        </w:rPr>
        <w:t xml:space="preserve">P/E là số lần lợi nhuận, P/B là số lần giá trị sổ sách. Dòng cuối trên 1,0 nghĩa là phiên thủng có khối lượng cao hơn bình thường. Nguồn: định giá theo điểm dữ liệu tuần gần đáy nhất; thanh khoản từ chuỗi lịch sử chỉ số.</w:t>
      </w:r>
    </w:p>
    <w:p>
      <w:pPr>
        <w:pStyle w:val="Heading2"/>
        <w:spacing w:after="100" w:before="220"/>
      </w:pPr>
      <w:r>
        <w:rPr>
          <w:rFonts w:ascii="Times New Roman" w:cs="Times New Roman" w:eastAsia="Times New Roman" w:hAnsi="Times New Roman"/>
          <w:b/>
          <w:bCs/>
          <w:color w:val="0E548F"/>
          <w:sz w:val="26"/>
          <w:szCs w:val="26"/>
        </w:rPr>
        <w:t xml:space="preserve">Ba điều rút ra</w:t>
      </w:r>
    </w:p>
    <w:p>
      <w:pPr>
        <w:keepNext w:val="false"/>
        <w:spacing w:after="120" w:before="0" w:line="276"/>
        <w:jc w:val="both"/>
      </w:pPr>
      <w:r>
        <w:rPr>
          <w:rFonts w:ascii="Times New Roman" w:cs="Times New Roman" w:eastAsia="Times New Roman" w:hAnsi="Times New Roman"/>
          <w:b/>
          <w:bCs/>
          <w:i w:val="false"/>
          <w:iCs w:val="false"/>
          <w:color w:val="0E548F"/>
          <w:sz w:val="26"/>
          <w:szCs w:val="26"/>
        </w:rPr>
        <w:t xml:space="preserve">MA200 không phải mốc có ý nghĩa cố định. </w:t>
      </w:r>
      <w:r>
        <w:rPr>
          <w:rFonts w:ascii="Times New Roman" w:cs="Times New Roman" w:eastAsia="Times New Roman" w:hAnsi="Times New Roman"/>
          <w:b w:val="false"/>
          <w:bCs w:val="false"/>
          <w:i w:val="false"/>
          <w:iCs w:val="false"/>
          <w:color w:val="333333"/>
          <w:sz w:val="26"/>
          <w:szCs w:val="26"/>
        </w:rPr>
        <w:t xml:space="preserve">So Lần 3 với Lần 5: Lần 5 giảm 16,4% từ đỉnh nhưng chỉ thủng MA200 3,6%, trong khi Lần 3 giảm có 7,4% mà thủng tới 4,0%. Nguyên nhân là độ dốc xu hướng tăng trước đó. Thị trường tăng dốc thì MA200 bị bỏ lại rất xa phía dưới đỉnh, nên tới lúc chỉ số thủng được nó thì phần lớn thiệt hại đã xảy ra. Thị trường đi ngang thì MA200 bám sát giá, chỉ một nhịp chỉnh nhẹ đã đủ thủng. Vì vậy, dùng khoảng cách so với MA200 để đo mức nghiêm trọng là không đáng tin — mức giảm từ đỉnh mới là thước đo nhất quán.</w:t>
      </w:r>
    </w:p>
    <w:p>
      <w:pPr>
        <w:keepNext w:val="false"/>
        <w:spacing w:after="120" w:before="0" w:line="276"/>
        <w:jc w:val="both"/>
      </w:pPr>
      <w:r>
        <w:rPr>
          <w:rFonts w:ascii="Times New Roman" w:cs="Times New Roman" w:eastAsia="Times New Roman" w:hAnsi="Times New Roman"/>
          <w:b/>
          <w:bCs/>
          <w:i w:val="false"/>
          <w:iCs w:val="false"/>
          <w:color w:val="0E548F"/>
          <w:sz w:val="26"/>
          <w:szCs w:val="26"/>
        </w:rPr>
        <w:t xml:space="preserve">Định giá tại đáy cho biết còn dư địa giảm hay không. </w:t>
      </w:r>
      <w:r>
        <w:rPr>
          <w:rFonts w:ascii="Times New Roman" w:cs="Times New Roman" w:eastAsia="Times New Roman" w:hAnsi="Times New Roman"/>
          <w:b w:val="false"/>
          <w:bCs w:val="false"/>
          <w:i w:val="false"/>
          <w:iCs w:val="false"/>
          <w:color w:val="333333"/>
          <w:sz w:val="26"/>
          <w:szCs w:val="26"/>
        </w:rPr>
        <w:t xml:space="preserve">Bốn lần đáy trước, P/E thị trường rơi về vùng 9,5 đến 12,4 lần. Hiện tại P/E ở 12,7 — nằm ở mép trên vùng từng tạo đáy, thậm chí nhỉnh hơn. Xét thuần về định giá, thị trường hiện chưa rẻ như các đáy trước. Điều này không có nghĩa phải giảm thêm, nhưng cho thấy lớp đệm định giá mỏng hơn.</w:t>
      </w:r>
    </w:p>
    <w:p>
      <w:pPr>
        <w:keepNext w:val="false"/>
        <w:spacing w:after="120" w:before="0" w:line="276"/>
        <w:jc w:val="both"/>
      </w:pPr>
      <w:r>
        <w:rPr>
          <w:rFonts w:ascii="Times New Roman" w:cs="Times New Roman" w:eastAsia="Times New Roman" w:hAnsi="Times New Roman"/>
          <w:b/>
          <w:bCs/>
          <w:i w:val="false"/>
          <w:iCs w:val="false"/>
          <w:color w:val="0E548F"/>
          <w:sz w:val="26"/>
          <w:szCs w:val="26"/>
        </w:rPr>
        <w:t xml:space="preserve">Phiên thủng hiện tại có dấu hiệu bán chủ động. </w:t>
      </w:r>
      <w:r>
        <w:rPr>
          <w:rFonts w:ascii="Times New Roman" w:cs="Times New Roman" w:eastAsia="Times New Roman" w:hAnsi="Times New Roman"/>
          <w:b w:val="false"/>
          <w:bCs w:val="false"/>
          <w:i w:val="false"/>
          <w:iCs w:val="false"/>
          <w:color w:val="333333"/>
          <w:sz w:val="26"/>
          <w:szCs w:val="26"/>
        </w:rPr>
        <w:t xml:space="preserve">Khối lượng phiên 20/07 cao hơn trung bình 20 phiên 1,52 lần, phiên tạo đáy tạm 22/07 còn cao hơn (1,6 lần). Lần 3 và Lần 5 — hai lần điều chỉnh nông rồi hồi nhanh — đều thủng với khối lượng dưới mức bình thường, cho thấy chỉ là chốt lời nhẹ. Lần 4 thủng với khối lượng gấp 2,15 lần, là nhịp giảm sâu 18%. Mẫu hình hiện tại nằm giữa hai thái cực, nghiêng về áp lực bán thật hơn rung lắc kỹ thuật.</w:t>
      </w:r>
    </w:p>
    <w:p>
      <w:pPr>
        <w:pStyle w:val="Heading2"/>
        <w:spacing w:after="100" w:before="220"/>
      </w:pPr>
      <w:r>
        <w:rPr>
          <w:rFonts w:ascii="Times New Roman" w:cs="Times New Roman" w:eastAsia="Times New Roman" w:hAnsi="Times New Roman"/>
          <w:b/>
          <w:bCs/>
          <w:color w:val="0E548F"/>
          <w:sz w:val="26"/>
          <w:szCs w:val="26"/>
        </w:rPr>
        <w:t xml:space="preserve">Ghi chú riêng về lần 2022</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Lần 1 được giữ trong bảng nhưng phải đọc tách biệt. Nó chiếm 279 trong tổng 383 phiên nằm dưới MA200 của cả năm lần, giảm 40,4% trong khi bốn lần còn lại chỉ từ 7,4 đến 18,1%, và mất 670 phiên — gần ba năm — kể từ đáy để lấy lại đỉnh cũ. Bối cảnh rất riêng: khủng hoảng trái phiếu doanh nghiệp, một số lãnh đạo doanh nghiệp niêm yết bị khởi tố, bán giải chấp lan chéo sang cả cổ phiếu tốt. Đây là </w:t>
      </w:r>
      <w:r>
        <w:rPr>
          <w:rFonts w:ascii="Times New Roman" w:cs="Times New Roman" w:eastAsia="Times New Roman" w:hAnsi="Times New Roman"/>
          <w:b/>
          <w:bCs/>
          <w:i w:val="false"/>
          <w:iCs w:val="false"/>
          <w:color w:val="D71249"/>
          <w:sz w:val="26"/>
          <w:szCs w:val="26"/>
        </w:rPr>
        <w:t xml:space="preserve">kịch bản xấu nhất</w:t>
      </w:r>
      <w:r>
        <w:rPr>
          <w:rFonts w:ascii="Times New Roman" w:cs="Times New Roman" w:eastAsia="Times New Roman" w:hAnsi="Times New Roman"/>
          <w:b w:val="false"/>
          <w:bCs w:val="false"/>
          <w:i w:val="false"/>
          <w:iCs w:val="false"/>
          <w:color w:val="333333"/>
          <w:sz w:val="26"/>
          <w:szCs w:val="26"/>
        </w:rPr>
        <w:t xml:space="preserve"> — giữ lại để nhắc rằng rủi ro đuôi có thật, nhưng không đưa vào tính trung bình vì không đại diện cho một nhịp điều chỉnh thông thường.</w:t>
      </w:r>
    </w:p>
    <w:p>
      <w:pPr>
        <w:keepNext/>
        <w:keepLines/>
        <w:spacing w:after="80" w:before="180"/>
      </w:pPr>
      <w:r>
        <w:rPr>
          <w:rFonts w:ascii="Times New Roman" w:cs="Times New Roman" w:eastAsia="Times New Roman" w:hAnsi="Times New Roman"/>
          <w:b/>
          <w:bCs/>
          <w:color w:val="0E548F"/>
          <w:sz w:val="26"/>
          <w:szCs w:val="26"/>
        </w:rPr>
        <w:t xml:space="preserve">Bảng 5 — Phân bố năm lần thủng</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3372"/>
        <w:gridCol w:w="1650"/>
        <w:gridCol w:w="1650"/>
        <w:gridCol w:w="1650"/>
        <w:gridCol w:w="1650"/>
      </w:tblGrid>
      <w:tr>
        <w:trPr>
          <w:tblHeader/>
        </w:trPr>
        <w:tc>
          <w:tcPr>
            <w:tcW w:type="dxa" w:w="3372"/>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Chỉ tiêu</w:t>
            </w:r>
          </w:p>
        </w:tc>
        <w:tc>
          <w:tcPr>
            <w:tcW w:type="dxa" w:w="165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Thấp nhất</w:t>
            </w:r>
          </w:p>
        </w:tc>
        <w:tc>
          <w:tcPr>
            <w:tcW w:type="dxa" w:w="165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Trung vị</w:t>
            </w:r>
          </w:p>
        </w:tc>
        <w:tc>
          <w:tcPr>
            <w:tcW w:type="dxa" w:w="165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Cao nhất</w:t>
            </w:r>
          </w:p>
        </w:tc>
        <w:tc>
          <w:tcPr>
            <w:tcW w:type="dxa" w:w="165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Trung vị (bỏ 2022)</w:t>
            </w:r>
          </w:p>
        </w:tc>
      </w:tr>
      <w:tr>
        <w:trPr>
          <w:cantSplit/>
        </w:trPr>
        <w:tc>
          <w:tcPr>
            <w:tcW w:type="dxa" w:w="3372"/>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Giảm từ đỉnh</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7,4%</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17,4%</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40,4%</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16,9%</w:t>
            </w:r>
          </w:p>
        </w:tc>
      </w:tr>
      <w:tr>
        <w:trPr>
          <w:cantSplit/>
        </w:trPr>
        <w:tc>
          <w:tcPr>
            <w:tcW w:type="dxa" w:w="3372"/>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Thủng sâu nhất</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3,6%</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7,7%</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28,4%</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5,9%</w:t>
            </w:r>
          </w:p>
        </w:tc>
      </w:tr>
      <w:tr>
        <w:trPr>
          <w:cantSplit/>
        </w:trPr>
        <w:tc>
          <w:tcPr>
            <w:tcW w:type="dxa" w:w="3372"/>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Số phiên tới đáy</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7</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146</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5</w:t>
            </w:r>
          </w:p>
        </w:tc>
      </w:tr>
      <w:tr>
        <w:trPr>
          <w:cantSplit/>
        </w:trPr>
        <w:tc>
          <w:tcPr>
            <w:tcW w:type="dxa" w:w="3372"/>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Phiên từ đáy → lại MA200</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42</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133</w:t>
            </w:r>
          </w:p>
        </w:tc>
        <w:tc>
          <w:tcPr>
            <w:tcW w:type="dxa" w:w="165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30</w:t>
            </w:r>
          </w:p>
        </w:tc>
      </w:tr>
      <w:tr>
        <w:trPr>
          <w:cantSplit/>
        </w:trPr>
        <w:tc>
          <w:tcPr>
            <w:tcW w:type="dxa" w:w="3372"/>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Phiên từ đáy → vượt đỉnh cũ</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30</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63</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670</w:t>
            </w:r>
          </w:p>
        </w:tc>
        <w:tc>
          <w:tcPr>
            <w:tcW w:type="dxa" w:w="165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47</w:t>
            </w:r>
          </w:p>
        </w:tc>
      </w:tr>
    </w:tbl>
    <w:p>
      <w:pPr>
        <w:keepNext w:val="false"/>
        <w:spacing w:after="120" w:before="80" w:line="276"/>
        <w:jc w:val="both"/>
      </w:pPr>
      <w:r>
        <w:rPr>
          <w:rFonts w:ascii="Times New Roman" w:cs="Times New Roman" w:eastAsia="Times New Roman" w:hAnsi="Times New Roman"/>
          <w:b w:val="false"/>
          <w:bCs w:val="false"/>
          <w:i/>
          <w:iCs/>
          <w:color w:val="666666"/>
          <w:sz w:val="22"/>
          <w:szCs w:val="22"/>
        </w:rPr>
        <w:t xml:space="preserve">Lưu ý thẳng thắn: năm lần quan sát là quá ít để rút quy luật thống kê. Các con số trung vị mô tả những gì đã xảy ra, không phải dự báo những gì sẽ xảy ra. Chúng là điểm định vị, không phải điểm để đặt cược.</w:t>
      </w:r>
    </w:p>
    <w:p>
      <w:r>
        <w:br w:type="page"/>
      </w:r>
    </w:p>
    <w:p>
      <w:pPr>
        <w:pStyle w:val="Heading1"/>
        <w:spacing w:after="140" w:before="320"/>
      </w:pPr>
      <w:r>
        <w:rPr>
          <w:rFonts w:ascii="Times New Roman" w:cs="Times New Roman" w:eastAsia="Times New Roman" w:hAnsi="Times New Roman"/>
          <w:b/>
          <w:bCs/>
          <w:color w:val="0E548F"/>
          <w:sz w:val="30"/>
          <w:szCs w:val="30"/>
        </w:rPr>
        <w:t xml:space="preserve">Phần 3. Vùng giá hợp lý và ba kịch bản</w:t>
      </w:r>
    </w:p>
    <w:p>
      <w:pPr>
        <w:pStyle w:val="Heading2"/>
        <w:spacing w:after="100" w:before="220"/>
      </w:pPr>
      <w:r>
        <w:rPr>
          <w:rFonts w:ascii="Times New Roman" w:cs="Times New Roman" w:eastAsia="Times New Roman" w:hAnsi="Times New Roman"/>
          <w:b/>
          <w:bCs/>
          <w:color w:val="0E548F"/>
          <w:sz w:val="26"/>
          <w:szCs w:val="26"/>
        </w:rPr>
        <w:t xml:space="preserve">Định vị hiện tại</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Đỉnh gần nhất 1.927,9 lập ngày 18/05. MA200 hiện ở 1.772,8. Đóng cửa 24/07 là 1.686,1 — đã giảm 12,5% từ đỉnh và nằm dưới MA200 4,9%. Đáy tạm 1.668,5 ngày 22/07 tương ứng giảm 13,5%.</w:t>
      </w:r>
    </w:p>
    <w:p>
      <w:pPr>
        <w:keepNext/>
        <w:keepLines/>
        <w:spacing w:after="80" w:before="180"/>
      </w:pPr>
      <w:r>
        <w:rPr>
          <w:rFonts w:ascii="Times New Roman" w:cs="Times New Roman" w:eastAsia="Times New Roman" w:hAnsi="Times New Roman"/>
          <w:b/>
          <w:bCs/>
          <w:color w:val="0E548F"/>
          <w:sz w:val="26"/>
          <w:szCs w:val="26"/>
        </w:rPr>
        <w:t xml:space="preserve">Bảng 6 — Chiếu các mốc lịch sử vào giá hiện tại</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4000"/>
        <w:gridCol w:w="2986"/>
        <w:gridCol w:w="2986"/>
      </w:tblGrid>
      <w:tr>
        <w:trPr>
          <w:tblHeader/>
        </w:trPr>
        <w:tc>
          <w:tcPr>
            <w:tcW w:type="dxa" w:w="40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Mốc tham chiếu</w:t>
            </w:r>
          </w:p>
        </w:tc>
        <w:tc>
          <w:tcPr>
            <w:tcW w:type="dxa" w:w="2986"/>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Theo mức giảm từ đỉnh</w:t>
            </w:r>
          </w:p>
        </w:tc>
        <w:tc>
          <w:tcPr>
            <w:tcW w:type="dxa" w:w="2986"/>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Theo độ sâu thủng</w:t>
            </w:r>
          </w:p>
        </w:tc>
      </w:tr>
      <w:tr>
        <w:trPr>
          <w:cantSplit/>
        </w:trPr>
        <w:tc>
          <w:tcPr>
            <w:tcW w:type="dxa" w:w="4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Nhẹ nhất trong lịch sử</w:t>
            </w:r>
          </w:p>
        </w:tc>
        <w:tc>
          <w:tcPr>
            <w:tcW w:type="dxa" w:w="2986"/>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1.785 (đã qua)</w:t>
            </w:r>
          </w:p>
        </w:tc>
        <w:tc>
          <w:tcPr>
            <w:tcW w:type="dxa" w:w="2986"/>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1.709 (đã qua)</w:t>
            </w:r>
          </w:p>
        </w:tc>
      </w:tr>
      <w:tr>
        <w:trPr>
          <w:cantSplit/>
        </w:trPr>
        <w:tc>
          <w:tcPr>
            <w:tcW w:type="dxa" w:w="4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Trung vị bỏ lần 2022</w:t>
            </w:r>
          </w:p>
        </w:tc>
        <w:tc>
          <w:tcPr>
            <w:tcW w:type="dxa" w:w="2986"/>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1.602</w:t>
            </w:r>
          </w:p>
        </w:tc>
        <w:tc>
          <w:tcPr>
            <w:tcW w:type="dxa" w:w="2986"/>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1.669</w:t>
            </w:r>
          </w:p>
        </w:tc>
      </w:tr>
      <w:tr>
        <w:trPr>
          <w:cantSplit/>
        </w:trPr>
        <w:tc>
          <w:tcPr>
            <w:tcW w:type="dxa" w:w="40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Trung vị đầy đủ</w:t>
            </w:r>
          </w:p>
        </w:tc>
        <w:tc>
          <w:tcPr>
            <w:tcW w:type="dxa" w:w="2986"/>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1.592</w:t>
            </w:r>
          </w:p>
        </w:tc>
        <w:tc>
          <w:tcPr>
            <w:tcW w:type="dxa" w:w="2986"/>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1.636</w:t>
            </w:r>
          </w:p>
        </w:tc>
      </w:tr>
      <w:tr>
        <w:trPr>
          <w:cantSplit/>
        </w:trPr>
        <w:tc>
          <w:tcPr>
            <w:tcW w:type="dxa" w:w="40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Sâu nhất trong lịch sử</w:t>
            </w:r>
          </w:p>
        </w:tc>
        <w:tc>
          <w:tcPr>
            <w:tcW w:type="dxa" w:w="2986"/>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1.149</w:t>
            </w:r>
          </w:p>
        </w:tc>
        <w:tc>
          <w:tcPr>
            <w:tcW w:type="dxa" w:w="2986"/>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1.269</w:t>
            </w:r>
          </w:p>
        </w:tc>
      </w:tr>
    </w:tbl>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Thị trường đã đi qua kịch bản nhẹ nhất. Đáy tạm 1.668,5 gần trùng với mốc trung vị bỏ lần 2022 tính theo độ sâu thủng. Vùng giá mà dữ liệu lịch sử ủng hộ nhất là </w:t>
      </w:r>
      <w:r>
        <w:rPr>
          <w:rFonts w:ascii="Times New Roman" w:cs="Times New Roman" w:eastAsia="Times New Roman" w:hAnsi="Times New Roman"/>
          <w:b/>
          <w:bCs/>
          <w:i w:val="false"/>
          <w:iCs w:val="false"/>
          <w:color w:val="D71249"/>
          <w:sz w:val="26"/>
          <w:szCs w:val="26"/>
        </w:rPr>
        <w:t xml:space="preserve">1.590 đến 1.670 điểm</w:t>
      </w:r>
      <w:r>
        <w:rPr>
          <w:rFonts w:ascii="Times New Roman" w:cs="Times New Roman" w:eastAsia="Times New Roman" w:hAnsi="Times New Roman"/>
          <w:b w:val="false"/>
          <w:bCs w:val="false"/>
          <w:i w:val="false"/>
          <w:iCs w:val="false"/>
          <w:color w:val="333333"/>
          <w:sz w:val="26"/>
          <w:szCs w:val="26"/>
        </w:rPr>
        <w:t xml:space="preserve">.</w:t>
      </w:r>
    </w:p>
    <w:p>
      <w:pPr>
        <w:keepNext/>
        <w:keepLines/>
        <w:spacing w:after="80" w:before="180"/>
      </w:pPr>
      <w:r>
        <w:rPr>
          <w:rFonts w:ascii="Times New Roman" w:cs="Times New Roman" w:eastAsia="Times New Roman" w:hAnsi="Times New Roman"/>
          <w:b/>
          <w:bCs/>
          <w:color w:val="0E548F"/>
          <w:sz w:val="26"/>
          <w:szCs w:val="26"/>
        </w:rPr>
        <w:t xml:space="preserve">Bảng 7 — Ba kịch bản cho nhịp hiện tại</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2600"/>
        <w:gridCol w:w="2457"/>
        <w:gridCol w:w="2457"/>
        <w:gridCol w:w="2458"/>
      </w:tblGrid>
      <w:tr>
        <w:trPr>
          <w:tblHeader/>
        </w:trPr>
        <w:tc>
          <w:tcPr>
            <w:tcW w:type="dxa" w:w="26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Tiêu chí</w:t>
            </w:r>
          </w:p>
        </w:tc>
        <w:tc>
          <w:tcPr>
            <w:tcW w:type="dxa" w:w="2457"/>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Kịch bản cơ sở</w:t>
            </w:r>
          </w:p>
        </w:tc>
        <w:tc>
          <w:tcPr>
            <w:tcW w:type="dxa" w:w="2457"/>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Kịch bản tích cực</w:t>
            </w:r>
          </w:p>
        </w:tc>
        <w:tc>
          <w:tcPr>
            <w:tcW w:type="dxa" w:w="2458"/>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Rủi ro đuôi</w:t>
            </w:r>
          </w:p>
        </w:tc>
      </w:tr>
      <w:tr>
        <w:trPr>
          <w:cantSplit/>
        </w:trPr>
        <w:tc>
          <w:tcPr>
            <w:tcW w:type="dxa" w:w="2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Diễn biến</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Điều chỉnh trong xu hướng tăng</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Đáy đã lập tại 1.668</w:t>
            </w:r>
          </w:p>
        </w:tc>
        <w:tc>
          <w:tcPr>
            <w:tcW w:type="dxa" w:w="2458"/>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Đứt gãy như 2022</w:t>
            </w:r>
          </w:p>
        </w:tc>
      </w:tr>
      <w:tr>
        <w:trPr>
          <w:cantSplit/>
        </w:trPr>
        <w:tc>
          <w:tcPr>
            <w:tcW w:type="dxa" w:w="2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Giống lần nào</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Lần 2, Lần 4</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Lần 5</w:t>
            </w:r>
          </w:p>
        </w:tc>
        <w:tc>
          <w:tcPr>
            <w:tcW w:type="dxa" w:w="2458"/>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Lần 1</w:t>
            </w:r>
          </w:p>
        </w:tc>
      </w:tr>
      <w:tr>
        <w:trPr>
          <w:cantSplit/>
        </w:trPr>
        <w:tc>
          <w:tcPr>
            <w:tcW w:type="dxa" w:w="2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Vùng đáy</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1.590 – 1.670</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1.668 giữ được</w:t>
            </w:r>
          </w:p>
        </w:tc>
        <w:tc>
          <w:tcPr>
            <w:tcW w:type="dxa" w:w="2458"/>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C62828"/>
                <w:sz w:val="24"/>
                <w:szCs w:val="24"/>
              </w:rPr>
              <w:t xml:space="preserve">dưới 1.400</w:t>
            </w:r>
          </w:p>
        </w:tc>
      </w:tr>
      <w:tr>
        <w:trPr>
          <w:cantSplit/>
        </w:trPr>
        <w:tc>
          <w:tcPr>
            <w:tcW w:type="dxa" w:w="2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Còn giảm từ 24/07</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 – 6%</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0%</w:t>
            </w:r>
          </w:p>
        </w:tc>
        <w:tc>
          <w:tcPr>
            <w:tcW w:type="dxa" w:w="2458"/>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trên 17%</w:t>
            </w:r>
          </w:p>
        </w:tc>
      </w:tr>
      <w:tr>
        <w:trPr>
          <w:cantSplit/>
        </w:trPr>
        <w:tc>
          <w:tcPr>
            <w:tcW w:type="dxa" w:w="2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Thời gian tới đáy</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quanh 27/07 – 03/08</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đã qua</w:t>
            </w:r>
          </w:p>
        </w:tc>
        <w:tc>
          <w:tcPr>
            <w:tcW w:type="dxa" w:w="2458"/>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nhiều tháng</w:t>
            </w:r>
          </w:p>
        </w:tc>
      </w:tr>
      <w:tr>
        <w:trPr>
          <w:cantSplit/>
        </w:trPr>
        <w:tc>
          <w:tcPr>
            <w:tcW w:type="dxa" w:w="2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Thời gian lấy lại MA200</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30 – 42 phiên</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4 phiên</w:t>
            </w:r>
          </w:p>
        </w:tc>
        <w:tc>
          <w:tcPr>
            <w:tcW w:type="dxa" w:w="2458"/>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trên 100 phiên</w:t>
            </w:r>
          </w:p>
        </w:tc>
      </w:tr>
      <w:tr>
        <w:trPr>
          <w:cantSplit/>
        </w:trPr>
        <w:tc>
          <w:tcPr>
            <w:tcW w:type="dxa" w:w="2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Điều kiện xác nhận</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tạo đáy mới rồi bật kèm KL</w:t>
            </w:r>
          </w:p>
        </w:tc>
        <w:tc>
          <w:tcPr>
            <w:tcW w:type="dxa" w:w="2457"/>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giữ trên 1.668, vượt 1.773 trong 2 tuần</w:t>
            </w:r>
          </w:p>
        </w:tc>
        <w:tc>
          <w:tcPr>
            <w:tcW w:type="dxa" w:w="2458"/>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sự kiện tín dụng / pháp lý hệ thống</w:t>
            </w:r>
          </w:p>
        </w:tc>
      </w:tr>
      <w:tr>
        <w:trPr>
          <w:cantSplit/>
        </w:trPr>
        <w:tc>
          <w:tcPr>
            <w:tcW w:type="dxa" w:w="2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Đánh giá</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khả năng cao nhất</w:t>
            </w:r>
          </w:p>
        </w:tc>
        <w:tc>
          <w:tcPr>
            <w:tcW w:type="dxa" w:w="2457"/>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có cơ sở, cần xác nhận</w:t>
            </w:r>
          </w:p>
        </w:tc>
        <w:tc>
          <w:tcPr>
            <w:tcW w:type="dxa" w:w="2458"/>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thấp, hậu quả lớn</w:t>
            </w:r>
          </w:p>
        </w:tc>
      </w:tr>
    </w:tbl>
    <w:p>
      <w:pPr>
        <w:spacing w:after="80" w:before="60"/>
      </w:pPr>
      <w:r>
        <w:rPr>
          <w:rFonts w:ascii="Times New Roman" w:cs="Times New Roman" w:eastAsia="Times New Roman" w:hAnsi="Times New Roman"/>
          <w:i/>
          <w:iCs/>
          <w:color w:val="666666"/>
          <w:sz w:val="22"/>
          <w:szCs w:val="22"/>
        </w:rPr>
        <w:t xml:space="preserve">Không gán xác suất định lượng cho ba kịch bản vì năm quan sát không đủ. Đánh giá dòng cuối dựa trên so khớp bối cảnh, không phải tần suất thống kê.</w:t>
      </w:r>
    </w:p>
    <w:p>
      <w:pPr>
        <w:pStyle w:val="Heading2"/>
        <w:spacing w:after="100" w:before="220"/>
      </w:pPr>
      <w:r>
        <w:rPr>
          <w:rFonts w:ascii="Times New Roman" w:cs="Times New Roman" w:eastAsia="Times New Roman" w:hAnsi="Times New Roman"/>
          <w:b/>
          <w:bCs/>
          <w:color w:val="0E548F"/>
          <w:sz w:val="26"/>
          <w:szCs w:val="26"/>
        </w:rPr>
        <w:t xml:space="preserve">Điểm mấu chốt: chỉ số và danh mục là hai câu hỏi khác nhau</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Vì nhóm Vingroup chiếm gần một phần ba chỉ số, câu hỏi "chỉ số về đâu" đã tách thành hai câu độc lập: nhóm Vingroup đi đâu, và phần còn lại đi đâu. Bảng dưới cho thấy cùng một mục tiêu điểm số có thể đến từ những kịch bản rất khác nhau về mặt danh mục.</w:t>
      </w:r>
    </w:p>
    <w:p>
      <w:pPr>
        <w:keepNext/>
        <w:keepLines/>
        <w:spacing w:after="80" w:before="180"/>
      </w:pPr>
      <w:r>
        <w:rPr>
          <w:rFonts w:ascii="Times New Roman" w:cs="Times New Roman" w:eastAsia="Times New Roman" w:hAnsi="Times New Roman"/>
          <w:b/>
          <w:bCs/>
          <w:color w:val="0E548F"/>
          <w:sz w:val="26"/>
          <w:szCs w:val="26"/>
        </w:rPr>
        <w:t xml:space="preserve">Bảng 8 — Cùng một điểm số, ba con đường khác nhau</w:t>
      </w:r>
    </w:p>
    <w:p>
      <w:pPr>
        <w:keepNext/>
        <w:spacing w:after="100" w:before="0" w:line="276"/>
        <w:jc w:val="both"/>
      </w:pPr>
      <w:r>
        <w:rPr>
          <w:rFonts w:ascii="Times New Roman" w:cs="Times New Roman" w:eastAsia="Times New Roman" w:hAnsi="Times New Roman"/>
          <w:b w:val="false"/>
          <w:bCs w:val="false"/>
          <w:i w:val="false"/>
          <w:iCs w:val="false"/>
          <w:color w:val="333333"/>
          <w:sz w:val="26"/>
          <w:szCs w:val="26"/>
        </w:rPr>
        <w:t xml:space="preserve">Tính từ giá hiện tại 1.686, với nhóm Vingroup chiếm 28 đến 31%. Mỗi cột là một con đường khác nhau để chỉ số về cùng một mốc.</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1600"/>
        <w:gridCol w:w="2790"/>
        <w:gridCol w:w="2790"/>
        <w:gridCol w:w="2792"/>
      </w:tblGrid>
      <w:tr>
        <w:trPr>
          <w:tblHeader/>
        </w:trPr>
        <w:tc>
          <w:tcPr>
            <w:tcW w:type="dxa" w:w="16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Chỉ số về</w:t>
            </w:r>
          </w:p>
        </w:tc>
        <w:tc>
          <w:tcPr>
            <w:tcW w:type="dxa" w:w="279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Cả hai cùng giảm: phần còn lại</w:t>
            </w:r>
          </w:p>
        </w:tc>
        <w:tc>
          <w:tcPr>
            <w:tcW w:type="dxa" w:w="2790"/>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Vingroup đứng yên: phần còn lại</w:t>
            </w:r>
          </w:p>
        </w:tc>
        <w:tc>
          <w:tcPr>
            <w:tcW w:type="dxa" w:w="2792"/>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Phần còn lại đứng yên: Vingroup</w:t>
            </w:r>
          </w:p>
        </w:tc>
      </w:tr>
      <w:tr>
        <w:trPr>
          <w:cantSplit/>
        </w:trPr>
        <w:tc>
          <w:tcPr>
            <w:tcW w:type="dxa" w:w="1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1.670</w:t>
            </w:r>
          </w:p>
        </w:tc>
        <w:tc>
          <w:tcPr>
            <w:tcW w:type="dxa" w:w="279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1,0%</w:t>
            </w:r>
          </w:p>
        </w:tc>
        <w:tc>
          <w:tcPr>
            <w:tcW w:type="dxa" w:w="279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1,4%</w:t>
            </w:r>
          </w:p>
        </w:tc>
        <w:tc>
          <w:tcPr>
            <w:tcW w:type="dxa" w:w="279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3,1 – 3,4%</w:t>
            </w:r>
          </w:p>
        </w:tc>
      </w:tr>
      <w:tr>
        <w:trPr>
          <w:cantSplit/>
        </w:trPr>
        <w:tc>
          <w:tcPr>
            <w:tcW w:type="dxa" w:w="1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1.636</w:t>
            </w:r>
          </w:p>
        </w:tc>
        <w:tc>
          <w:tcPr>
            <w:tcW w:type="dxa" w:w="279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333333"/>
                <w:sz w:val="24"/>
                <w:szCs w:val="24"/>
              </w:rPr>
              <w:t xml:space="preserve">3,0%</w:t>
            </w:r>
          </w:p>
        </w:tc>
        <w:tc>
          <w:tcPr>
            <w:tcW w:type="dxa" w:w="279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D71249"/>
                <w:sz w:val="24"/>
                <w:szCs w:val="24"/>
              </w:rPr>
              <w:t xml:space="preserve">4,1 – 4,3%</w:t>
            </w:r>
          </w:p>
        </w:tc>
        <w:tc>
          <w:tcPr>
            <w:tcW w:type="dxa" w:w="279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9,5 – 10,6%</w:t>
            </w:r>
          </w:p>
        </w:tc>
      </w:tr>
      <w:tr>
        <w:trPr>
          <w:cantSplit/>
        </w:trPr>
        <w:tc>
          <w:tcPr>
            <w:tcW w:type="dxa" w:w="16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1.592</w:t>
            </w:r>
          </w:p>
        </w:tc>
        <w:tc>
          <w:tcPr>
            <w:tcW w:type="dxa" w:w="279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5,6%</w:t>
            </w:r>
          </w:p>
        </w:tc>
        <w:tc>
          <w:tcPr>
            <w:tcW w:type="dxa" w:w="2790"/>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7,7 – 8,1%</w:t>
            </w:r>
          </w:p>
        </w:tc>
        <w:tc>
          <w:tcPr>
            <w:tcW w:type="dxa" w:w="2792"/>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17,9 – 19,8%</w:t>
            </w:r>
          </w:p>
        </w:tc>
      </w:tr>
      <w:tr>
        <w:trPr>
          <w:cantSplit/>
        </w:trPr>
        <w:tc>
          <w:tcPr>
            <w:tcW w:type="dxa" w:w="16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1.500</w:t>
            </w:r>
          </w:p>
        </w:tc>
        <w:tc>
          <w:tcPr>
            <w:tcW w:type="dxa" w:w="279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11,0%</w:t>
            </w:r>
          </w:p>
        </w:tc>
        <w:tc>
          <w:tcPr>
            <w:tcW w:type="dxa" w:w="2790"/>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15,3 – 16,0%</w:t>
            </w:r>
          </w:p>
        </w:tc>
        <w:tc>
          <w:tcPr>
            <w:tcW w:type="dxa" w:w="2792"/>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35,3 – 39,1%</w:t>
            </w:r>
          </w:p>
        </w:tc>
      </w:tr>
    </w:tbl>
    <w:p>
      <w:pPr>
        <w:keepNext w:val="false"/>
        <w:spacing w:after="120" w:before="100" w:line="276"/>
        <w:jc w:val="both"/>
      </w:pPr>
      <w:r>
        <w:rPr>
          <w:rFonts w:ascii="Times New Roman" w:cs="Times New Roman" w:eastAsia="Times New Roman" w:hAnsi="Times New Roman"/>
          <w:b/>
          <w:bCs/>
          <w:i w:val="false"/>
          <w:iCs w:val="false"/>
          <w:color w:val="D71249"/>
          <w:sz w:val="26"/>
          <w:szCs w:val="26"/>
        </w:rPr>
        <w:t xml:space="preserve">Tình huống khó chịu nhất với danh mục: </w:t>
      </w:r>
      <w:r>
        <w:rPr>
          <w:rFonts w:ascii="Times New Roman" w:cs="Times New Roman" w:eastAsia="Times New Roman" w:hAnsi="Times New Roman"/>
          <w:b w:val="false"/>
          <w:bCs w:val="false"/>
          <w:i w:val="false"/>
          <w:iCs w:val="false"/>
          <w:color w:val="333333"/>
          <w:sz w:val="26"/>
          <w:szCs w:val="26"/>
        </w:rPr>
        <w:t xml:space="preserve">nhóm Vingroup được giữ giá, chỉ số trông ổn định quanh 1.636, nhưng phần cổ phiếu còn lại vẫn âm thầm mất thêm 8%. Nhà đầu tư nhìn chỉ số thấy yên tâm trong khi tài khoản tiếp tục co lại. Đây không phải giả thuyết — nó chính là những gì đang diễn ra ở mức nhẹ hơn, khi VIC mới giảm 5,3% còn phần còn lại đã giảm 13,8%.</w:t>
      </w:r>
    </w:p>
    <w:p>
      <w:pPr>
        <w:keepNext w:val="false"/>
        <w:spacing w:after="120" w:before="0" w:line="276"/>
        <w:jc w:val="both"/>
      </w:pPr>
      <w:r>
        <w:rPr>
          <w:rFonts w:ascii="Times New Roman" w:cs="Times New Roman" w:eastAsia="Times New Roman" w:hAnsi="Times New Roman"/>
          <w:b/>
          <w:bCs/>
          <w:i w:val="false"/>
          <w:iCs w:val="false"/>
          <w:color w:val="0E548F"/>
          <w:sz w:val="26"/>
          <w:szCs w:val="26"/>
        </w:rPr>
        <w:t xml:space="preserve">Tình huống ngược: </w:t>
      </w:r>
      <w:r>
        <w:rPr>
          <w:rFonts w:ascii="Times New Roman" w:cs="Times New Roman" w:eastAsia="Times New Roman" w:hAnsi="Times New Roman"/>
          <w:b w:val="false"/>
          <w:bCs w:val="false"/>
          <w:i w:val="false"/>
          <w:iCs w:val="false"/>
          <w:color w:val="333333"/>
          <w:sz w:val="26"/>
          <w:szCs w:val="26"/>
        </w:rPr>
        <w:t xml:space="preserve">nhóm Vingroup giảm mạnh 18 đến 20% trong khi phần còn lại đứng yên, chỉ số rơi về 1.592 nhưng phần lớn danh mục không hề giảm thêm. Với một nhóm đã tăng nhiều lần trong 2025 và VIC hiện mới điều chỉnh nhẹ, biên độ này hoàn toàn có thể xảy ra.</w:t>
      </w:r>
    </w:p>
    <w:p>
      <w:pPr>
        <w:keepNext w:val="false"/>
        <w:spacing w:after="120" w:before="0" w:line="276"/>
        <w:jc w:val="both"/>
      </w:pPr>
      <w:r>
        <w:rPr>
          <w:rFonts w:ascii="Times New Roman" w:cs="Times New Roman" w:eastAsia="Times New Roman" w:hAnsi="Times New Roman"/>
          <w:b/>
          <w:bCs/>
          <w:i w:val="false"/>
          <w:iCs w:val="false"/>
          <w:color w:val="0E548F"/>
          <w:sz w:val="26"/>
          <w:szCs w:val="26"/>
        </w:rPr>
        <w:t xml:space="preserve">Hàm ý: </w:t>
      </w:r>
      <w:r>
        <w:rPr>
          <w:rFonts w:ascii="Times New Roman" w:cs="Times New Roman" w:eastAsia="Times New Roman" w:hAnsi="Times New Roman"/>
          <w:b w:val="false"/>
          <w:bCs w:val="false"/>
          <w:i w:val="false"/>
          <w:iCs w:val="false"/>
          <w:color w:val="333333"/>
          <w:sz w:val="26"/>
          <w:szCs w:val="26"/>
        </w:rPr>
        <w:t xml:space="preserve">đừng dùng riêng điểm số chỉ số để đánh giá mức độ an toàn của danh mục. Nếu danh mục không nắm nhóm Vingroup, thước đo đúng là diễn biến nhóm cổ phiếu vốn hóa vừa và nhỏ, không phải VNINDEX.</w:t>
      </w:r>
    </w:p>
    <w:p>
      <w:r>
        <w:br w:type="page"/>
      </w:r>
    </w:p>
    <w:p>
      <w:pPr>
        <w:pStyle w:val="Heading1"/>
        <w:spacing w:after="140" w:before="320"/>
      </w:pPr>
      <w:r>
        <w:rPr>
          <w:rFonts w:ascii="Times New Roman" w:cs="Times New Roman" w:eastAsia="Times New Roman" w:hAnsi="Times New Roman"/>
          <w:b/>
          <w:bCs/>
          <w:color w:val="0E548F"/>
          <w:sz w:val="30"/>
          <w:szCs w:val="30"/>
        </w:rPr>
        <w:t xml:space="preserve">Phần 4. Dòng tiền: ai đang đỡ thị trường</w:t>
      </w:r>
    </w:p>
    <w:p>
      <w:pPr>
        <w:keepNext/>
        <w:keepLines/>
        <w:spacing w:after="80" w:before="180"/>
      </w:pPr>
      <w:r>
        <w:rPr>
          <w:rFonts w:ascii="Times New Roman" w:cs="Times New Roman" w:eastAsia="Times New Roman" w:hAnsi="Times New Roman"/>
          <w:b/>
          <w:bCs/>
          <w:color w:val="0E548F"/>
          <w:sz w:val="26"/>
          <w:szCs w:val="26"/>
        </w:rPr>
        <w:t xml:space="preserve">Bảng 9 — Mua bán ròng theo tuần, 30 tuần gần nhất (tỷ đồng)</w:t>
      </w:r>
    </w:p>
    <w:p>
      <w:pPr>
        <w:keepNext w:val="false"/>
        <w:spacing w:after="100" w:before="0" w:line="276"/>
        <w:jc w:val="both"/>
      </w:pPr>
      <w:r>
        <w:rPr>
          <w:rFonts w:ascii="Times New Roman" w:cs="Times New Roman" w:eastAsia="Times New Roman" w:hAnsi="Times New Roman"/>
          <w:b w:val="false"/>
          <w:bCs w:val="false"/>
          <w:i w:val="false"/>
          <w:iCs w:val="false"/>
          <w:color w:val="333333"/>
          <w:sz w:val="26"/>
          <w:szCs w:val="26"/>
        </w:rPr>
        <w:t xml:space="preserve">Cột nội địa là phần còn lại sau khi trừ khối ngoại và tự doanh, gồm cả tổ chức trong nước lẫn cá nhân.</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2493"/>
        <w:gridCol w:w="2493"/>
        <w:gridCol w:w="2493"/>
        <w:gridCol w:w="2493"/>
      </w:tblGrid>
      <w:tr>
        <w:trPr>
          <w:tblHeader/>
        </w:trPr>
        <w:tc>
          <w:tcPr>
            <w:tcW w:type="dxa" w:w="2493"/>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Tuần đến</w:t>
            </w:r>
          </w:p>
        </w:tc>
        <w:tc>
          <w:tcPr>
            <w:tcW w:type="dxa" w:w="24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Khối ngoại</w:t>
            </w:r>
          </w:p>
        </w:tc>
        <w:tc>
          <w:tcPr>
            <w:tcW w:type="dxa" w:w="24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Tự doanh</w:t>
            </w:r>
          </w:p>
        </w:tc>
        <w:tc>
          <w:tcPr>
            <w:tcW w:type="dxa" w:w="24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Nội địa</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06/02</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−6.113</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−262</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+6.375</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27/02</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−5.181</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+396</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+4.785</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06/03</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−6.420</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−1.103</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+7.523</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20/03</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−7.385</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+298</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+7.087</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27/03</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−2.584</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+2.167</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+417</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03/04</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−1.026</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+585</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+441</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17/04</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−4.689</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+744</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+3.945</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24/04</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−4.815</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−240</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+5.055</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08/05</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−4.158</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+297</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+3.861</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22/05</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−6.377</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−99</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+6.476</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05/06</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−7.191</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−795</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+7.986</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19/06</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−2.934</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+1.227</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+1.707</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26/06</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+29</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+92</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−121</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03/07</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−3.005</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+296</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+2.709</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10/07</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−2.448</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−921</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+3.369</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17/07</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−2.074</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+234</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+1.840</w:t>
            </w:r>
          </w:p>
        </w:tc>
      </w:tr>
      <w:tr>
        <w:trPr>
          <w:cantSplit/>
        </w:trPr>
        <w:tc>
          <w:tcPr>
            <w:tcW w:type="dxa" w:w="2493"/>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24/07</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−3.787</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+50</w:t>
            </w:r>
          </w:p>
        </w:tc>
        <w:tc>
          <w:tcPr>
            <w:tcW w:type="dxa" w:w="24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+3.737</w:t>
            </w:r>
          </w:p>
        </w:tc>
      </w:tr>
      <w:tr>
        <w:trPr>
          <w:cantSplit/>
        </w:trPr>
        <w:tc>
          <w:tcPr>
            <w:tcW w:type="dxa" w:w="2493"/>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333333"/>
                <w:sz w:val="24"/>
                <w:szCs w:val="24"/>
              </w:rPr>
              <w:t xml:space="preserve">Cộng dồn 30 tuần</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C62828"/>
                <w:sz w:val="24"/>
                <w:szCs w:val="24"/>
              </w:rPr>
              <w:t xml:space="preserve">−85.757</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2E7D32"/>
                <w:sz w:val="24"/>
                <w:szCs w:val="24"/>
              </w:rPr>
              <w:t xml:space="preserve">+3.321</w:t>
            </w:r>
          </w:p>
        </w:tc>
        <w:tc>
          <w:tcPr>
            <w:tcW w:type="dxa" w:w="24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2E7D32"/>
                <w:sz w:val="24"/>
                <w:szCs w:val="24"/>
              </w:rPr>
              <w:t xml:space="preserve">+82.436</w:t>
            </w:r>
          </w:p>
        </w:tc>
      </w:tr>
    </w:tbl>
    <w:p>
      <w:pPr>
        <w:spacing w:after="80" w:before="60"/>
      </w:pPr>
      <w:r>
        <w:rPr>
          <w:rFonts w:ascii="Times New Roman" w:cs="Times New Roman" w:eastAsia="Times New Roman" w:hAnsi="Times New Roman"/>
          <w:i/>
          <w:iCs/>
          <w:color w:val="666666"/>
          <w:sz w:val="22"/>
          <w:szCs w:val="22"/>
        </w:rPr>
        <w:t xml:space="preserve">Rút gọn các tuần tiêu biểu; cộng dồn tính trên đủ 30 tuần. Nguồn: dữ liệu khối ngoại và tự doanh trong hệ thống, gộp ba sàn.</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Bức tranh rõ ràng: khối ngoại bán ròng ở 24 trên 30 tuần, tổng gần 86 nghìn tỷ đồng. Tự doanh gần như đứng ngoài. Toàn bộ lượng bán đó do dòng tiền trong nước hấp thụ.</w:t>
      </w:r>
    </w:p>
    <w:p>
      <w:pPr>
        <w:keepNext/>
        <w:keepLines/>
        <w:spacing w:after="80" w:before="180"/>
      </w:pPr>
      <w:r>
        <w:rPr>
          <w:rFonts w:ascii="Times New Roman" w:cs="Times New Roman" w:eastAsia="Times New Roman" w:hAnsi="Times New Roman"/>
          <w:b/>
          <w:bCs/>
          <w:color w:val="0E548F"/>
          <w:sz w:val="26"/>
          <w:szCs w:val="26"/>
        </w:rPr>
        <w:t xml:space="preserve">Bảng 10 — Tách tổ chức trong nước và cá nhân</w:t>
      </w:r>
    </w:p>
    <w:p>
      <w:pPr>
        <w:keepNext w:val="false"/>
        <w:spacing w:after="100" w:before="0" w:line="276"/>
        <w:jc w:val="both"/>
      </w:pPr>
      <w:r>
        <w:rPr>
          <w:rFonts w:ascii="Times New Roman" w:cs="Times New Roman" w:eastAsia="Times New Roman" w:hAnsi="Times New Roman"/>
          <w:b w:val="false"/>
          <w:bCs w:val="false"/>
          <w:i w:val="false"/>
          <w:iCs w:val="false"/>
          <w:color w:val="333333"/>
          <w:sz w:val="26"/>
          <w:szCs w:val="26"/>
        </w:rPr>
        <w:t xml:space="preserve">Hệ thống không tách sẵn hai nhóm này; số liệu ghép từ thống kê công bố công khai, đã đối chiếu khớp với dữ liệu hệ thống ở phần khối ngoại và tự doanh trong sai số 1–2%.</w:t>
      </w:r>
    </w:p>
    <w:tbl>
      <w:tblPr>
        <w:tblW w:type="dxa" w:w="9972"/>
        <w:tblBorders>
          <w:top w:val="single" w:color="0E548F" w:sz="6"/>
          <w:left w:val="single" w:color="BFCEDE" w:sz="4"/>
          <w:bottom w:val="single" w:color="0E548F" w:sz="6"/>
          <w:right w:val="single" w:color="BFCEDE" w:sz="4"/>
          <w:insideH w:val="single" w:color="BFCEDE" w:sz="4"/>
          <w:insideV w:val="single" w:color="BFCEDE" w:sz="4"/>
        </w:tblBorders>
      </w:tblPr>
      <w:tblGrid>
        <w:gridCol w:w="3200"/>
        <w:gridCol w:w="1693"/>
        <w:gridCol w:w="1693"/>
        <w:gridCol w:w="1693"/>
        <w:gridCol w:w="1693"/>
      </w:tblGrid>
      <w:tr>
        <w:trPr>
          <w:tblHeader/>
        </w:trPr>
        <w:tc>
          <w:tcPr>
            <w:tcW w:type="dxa" w:w="3200"/>
            <w:shd w:fill="0E548F"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bCs/>
                <w:i w:val="false"/>
                <w:iCs w:val="false"/>
                <w:color w:val="FFFFFF"/>
                <w:sz w:val="24"/>
                <w:szCs w:val="24"/>
              </w:rPr>
              <w:t xml:space="preserve">Kỳ</w:t>
            </w:r>
          </w:p>
        </w:tc>
        <w:tc>
          <w:tcPr>
            <w:tcW w:type="dxa" w:w="16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Khối ngoại</w:t>
            </w:r>
          </w:p>
        </w:tc>
        <w:tc>
          <w:tcPr>
            <w:tcW w:type="dxa" w:w="16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Tổ chức trong nước</w:t>
            </w:r>
          </w:p>
        </w:tc>
        <w:tc>
          <w:tcPr>
            <w:tcW w:type="dxa" w:w="16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Cá nhân</w:t>
            </w:r>
          </w:p>
        </w:tc>
        <w:tc>
          <w:tcPr>
            <w:tcW w:type="dxa" w:w="1693"/>
            <w:shd w:fill="0E548F"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i w:val="false"/>
                <w:iCs w:val="false"/>
                <w:color w:val="FFFFFF"/>
                <w:sz w:val="24"/>
                <w:szCs w:val="24"/>
              </w:rPr>
              <w:t xml:space="preserve">Tự doanh</w:t>
            </w:r>
          </w:p>
        </w:tc>
      </w:tr>
      <w:tr>
        <w:trPr>
          <w:cantSplit/>
        </w:trPr>
        <w:tc>
          <w:tcPr>
            <w:tcW w:type="dxa" w:w="32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Lũy kế 5 tháng đầu 2026</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−65.000</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+35.000</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+29.000</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w:t>
            </w:r>
          </w:p>
        </w:tc>
      </w:tr>
      <w:tr>
        <w:trPr>
          <w:cantSplit/>
        </w:trPr>
        <w:tc>
          <w:tcPr>
            <w:tcW w:type="dxa" w:w="32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Tuần đến 29/05</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−5.115</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+5.418</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−600</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w:t>
            </w:r>
          </w:p>
        </w:tc>
      </w:tr>
      <w:tr>
        <w:trPr>
          <w:cantSplit/>
        </w:trPr>
        <w:tc>
          <w:tcPr>
            <w:tcW w:type="dxa" w:w="3200"/>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Tuần đến 05/06</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−7.334</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+6.737</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w:t>
            </w:r>
          </w:p>
        </w:tc>
        <w:tc>
          <w:tcPr>
            <w:tcW w:type="dxa" w:w="1693"/>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w:t>
            </w:r>
          </w:p>
        </w:tc>
      </w:tr>
      <w:tr>
        <w:trPr>
          <w:cantSplit/>
        </w:trPr>
        <w:tc>
          <w:tcPr>
            <w:tcW w:type="dxa" w:w="3200"/>
            <w:shd w:fill="F2F5F9"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b w:val="false"/>
                <w:bCs w:val="false"/>
                <w:i w:val="false"/>
                <w:iCs w:val="false"/>
                <w:color w:val="333333"/>
                <w:sz w:val="24"/>
                <w:szCs w:val="24"/>
              </w:rPr>
              <w:t xml:space="preserve">Tuần đến 26/06</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−16</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C62828"/>
                <w:sz w:val="24"/>
                <w:szCs w:val="24"/>
              </w:rPr>
              <w:t xml:space="preserve">−2.529</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2E7D32"/>
                <w:sz w:val="24"/>
                <w:szCs w:val="24"/>
              </w:rPr>
              <w:t xml:space="preserve">+2.452</w:t>
            </w:r>
          </w:p>
        </w:tc>
        <w:tc>
          <w:tcPr>
            <w:tcW w:type="dxa" w:w="1693"/>
            <w:shd w:fill="F2F5F9"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val="false"/>
                <w:bCs w:val="false"/>
                <w:i w:val="false"/>
                <w:iCs w:val="false"/>
                <w:color w:val="333333"/>
                <w:sz w:val="24"/>
                <w:szCs w:val="24"/>
              </w:rPr>
              <w:t xml:space="preserve">+92</w:t>
            </w:r>
          </w:p>
        </w:tc>
      </w:tr>
    </w:tbl>
    <w:p>
      <w:pPr>
        <w:spacing w:after="80" w:before="60"/>
      </w:pPr>
      <w:r>
        <w:rPr>
          <w:rFonts w:ascii="Times New Roman" w:cs="Times New Roman" w:eastAsia="Times New Roman" w:hAnsi="Times New Roman"/>
          <w:i/>
          <w:iCs/>
          <w:color w:val="666666"/>
          <w:sz w:val="22"/>
          <w:szCs w:val="22"/>
        </w:rPr>
        <w:t xml:space="preserve">Nguồn: dữ liệu hệ thống kết hợp thống kê công bố trên báo chí tài chính. Chỉ dùng số khớp lệnh khi có phân tách.</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Lũy kế năm tháng: khối ngoại rút 65 nghìn tỷ, thì tổ chức trong nước mua vào 35 nghìn tỷ và cá nhân 29 nghìn tỷ — hai nhóm nội gánh gần như chia đôi. Nhưng theo tuần, tổ chức và cá nhân thường ngược chiều: tuần đến 29/05 tổ chức mua mạnh còn cá nhân bán, tuần đến 26/06 thì đảo lại.</w:t>
      </w:r>
    </w:p>
    <w:p>
      <w:pPr>
        <w:pStyle w:val="Heading2"/>
        <w:spacing w:after="100" w:before="220"/>
      </w:pPr>
      <w:r>
        <w:rPr>
          <w:rFonts w:ascii="Times New Roman" w:cs="Times New Roman" w:eastAsia="Times New Roman" w:hAnsi="Times New Roman"/>
          <w:b/>
          <w:bCs/>
          <w:color w:val="0E548F"/>
          <w:sz w:val="26"/>
          <w:szCs w:val="26"/>
        </w:rPr>
        <w:t xml:space="preserve">So với lần thủng gần nhất</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Ở lần tháng 3, tín hiệu tạo đáy khá rõ trong dòng tiền. Tuần thủng, khối ngoại bán ròng 7.385 tỷ — mạnh nhất trong cả 30 tuần. Sang tuần tạo đáy, tự doanh bất ngờ đảo chiều mua ròng 2.167 tỷ, đồng thời áp lực bán ngoại giảm còn một phần ba. Chỉ số bật lại và vượt MA200 ngay sau đó.</w:t>
      </w:r>
    </w:p>
    <w:p>
      <w:pPr>
        <w:keepNext w:val="false"/>
        <w:spacing w:after="120" w:before="0" w:line="276"/>
        <w:jc w:val="both"/>
      </w:pPr>
      <w:r>
        <w:rPr>
          <w:rFonts w:ascii="Times New Roman" w:cs="Times New Roman" w:eastAsia="Times New Roman" w:hAnsi="Times New Roman"/>
          <w:b w:val="false"/>
          <w:bCs w:val="false"/>
          <w:i w:val="false"/>
          <w:iCs w:val="false"/>
          <w:color w:val="333333"/>
          <w:sz w:val="26"/>
          <w:szCs w:val="26"/>
        </w:rPr>
        <w:t xml:space="preserve">Nhịp hiện tại </w:t>
      </w:r>
      <w:r>
        <w:rPr>
          <w:rFonts w:ascii="Times New Roman" w:cs="Times New Roman" w:eastAsia="Times New Roman" w:hAnsi="Times New Roman"/>
          <w:b/>
          <w:bCs/>
          <w:i w:val="false"/>
          <w:iCs w:val="false"/>
          <w:color w:val="D71249"/>
          <w:sz w:val="26"/>
          <w:szCs w:val="26"/>
        </w:rPr>
        <w:t xml:space="preserve">chưa có tín hiệu tương tự</w:t>
      </w:r>
      <w:r>
        <w:rPr>
          <w:rFonts w:ascii="Times New Roman" w:cs="Times New Roman" w:eastAsia="Times New Roman" w:hAnsi="Times New Roman"/>
          <w:b w:val="false"/>
          <w:bCs w:val="false"/>
          <w:i w:val="false"/>
          <w:iCs w:val="false"/>
          <w:color w:val="333333"/>
          <w:sz w:val="26"/>
          <w:szCs w:val="26"/>
        </w:rPr>
        <w:t xml:space="preserve">. Áp lực bán ngoại đang tăng, từ 2.074 tỷ tuần đến 17/07 lên 3.787 tỷ tuần đến 24/07 — gần gấp đôi. Tự doanh trung tính. Chưa xuất hiện dấu hiệu dòng tiền lớn quay lại bắt đáy như lần trước. Đây là quan sát trên một tiền lệ duy nhất nên không phải chỉ báo chắc chắn, nhưng cho một mốc cụ thể để theo dõi thay vì phán đoán cảm tính.</w:t>
      </w:r>
    </w:p>
    <w:p>
      <w:r>
        <w:br w:type="page"/>
      </w:r>
    </w:p>
    <w:p>
      <w:pPr>
        <w:pStyle w:val="Heading1"/>
        <w:spacing w:after="140" w:before="320"/>
      </w:pPr>
      <w:r>
        <w:rPr>
          <w:rFonts w:ascii="Times New Roman" w:cs="Times New Roman" w:eastAsia="Times New Roman" w:hAnsi="Times New Roman"/>
          <w:b/>
          <w:bCs/>
          <w:color w:val="0E548F"/>
          <w:sz w:val="30"/>
          <w:szCs w:val="30"/>
        </w:rPr>
        <w:t xml:space="preserve">Phần 5. Bốn kết luận cốt lõi</w:t>
      </w:r>
    </w:p>
    <w:tbl>
      <w:tblPr>
        <w:tblW w:type="dxa" w:w="9972"/>
        <w:tblBorders>
          <w:top w:val="none"/>
          <w:left w:val="none"/>
          <w:bottom w:val="none"/>
          <w:right w:val="none"/>
          <w:insideH w:val="none"/>
          <w:insideV w:val="none"/>
        </w:tblBorders>
      </w:tblPr>
      <w:tblGrid>
        <w:gridCol w:w="620"/>
        <w:gridCol w:w="9352"/>
      </w:tblGrid>
      <w:tr>
        <w:tc>
          <w:tcPr>
            <w:tcW w:type="dxa" w:w="620"/>
            <w:shd w:fill="D71249" w:color="auto" w:val="clear"/>
            <w:tcMar>
              <w:top w:type="dxa" w:w="80"/>
              <w:left w:type="dxa" w:w="60"/>
              <w:bottom w:type="dxa" w:w="80"/>
              <w:right w:type="dxa" w:w="60"/>
            </w:tcMar>
            <w:vAlign w:val="top"/>
          </w:tcPr>
          <w:p>
            <w:pPr>
              <w:spacing w:after="0"/>
              <w:jc w:val="center"/>
            </w:pPr>
            <w:r>
              <w:rPr>
                <w:rFonts w:ascii="Times New Roman" w:cs="Times New Roman" w:eastAsia="Times New Roman" w:hAnsi="Times New Roman"/>
                <w:b/>
                <w:bCs/>
                <w:color w:val="FFFFFF"/>
                <w:sz w:val="30"/>
                <w:szCs w:val="30"/>
              </w:rPr>
              <w:t xml:space="preserve">1</w:t>
            </w:r>
          </w:p>
        </w:tc>
        <w:tc>
          <w:tcPr>
            <w:tcW w:type="dxa" w:w="9352"/>
            <w:tcMar>
              <w:top w:type="dxa" w:w="60"/>
              <w:left w:type="dxa" w:w="160"/>
              <w:bottom w:type="dxa" w:w="80"/>
              <w:right w:type="dxa" w:w="40"/>
            </w:tcMar>
          </w:tcPr>
          <w:p>
            <w:pPr>
              <w:spacing w:after="0" w:line="276"/>
              <w:jc w:val="both"/>
            </w:pPr>
            <w:r>
              <w:rPr>
                <w:rFonts w:ascii="Times New Roman" w:cs="Times New Roman" w:eastAsia="Times New Roman" w:hAnsi="Times New Roman"/>
                <w:b/>
                <w:bCs/>
                <w:color w:val="0E548F"/>
                <w:sz w:val="26"/>
                <w:szCs w:val="26"/>
              </w:rPr>
              <w:t xml:space="preserve">Chỉ số đang che bớt thiệt hại — theo hướng làm nhẹ đi. </w:t>
            </w:r>
            <w:r>
              <w:rPr>
                <w:rFonts w:ascii="Times New Roman" w:cs="Times New Roman" w:eastAsia="Times New Roman" w:hAnsi="Times New Roman"/>
                <w:color w:val="333333"/>
                <w:sz w:val="26"/>
                <w:szCs w:val="26"/>
              </w:rPr>
              <w:t xml:space="preserve">VNINDEX mất 12,5% từ đỉnh, nhưng phần cổ phiếu ngoài Vingroup đã mất 13,8%. Vì gần 28% chỉ số nằm ở bốn mã một tập đoàn, điểm số trên bảng điện không còn là thước đo đáng tin cho danh mục của phần đông nhà đầu tư. Ai không nắm nhóm Vingroup nên nhìn cổ phiếu vốn hóa vừa và nhỏ để đo thị trường, đừng nhìn VNINDEX.</w:t>
            </w:r>
          </w:p>
        </w:tc>
      </w:tr>
    </w:tbl>
    <w:p>
      <w:pPr>
        <w:keepNext w:val="false"/>
        <w:spacing w:after="40" w:before="0" w:line="276"/>
        <w:jc w:val="both"/>
      </w:pPr>
      <w:r>
        <w:rPr>
          <w:rFonts w:ascii="Times New Roman" w:cs="Times New Roman" w:eastAsia="Times New Roman" w:hAnsi="Times New Roman"/>
          <w:b w:val="false"/>
          <w:bCs w:val="false"/>
          <w:i w:val="false"/>
          <w:iCs w:val="false"/>
          <w:color w:val="333333"/>
          <w:sz w:val="26"/>
          <w:szCs w:val="26"/>
        </w:rPr>
        <w:t xml:space="preserve"/>
      </w:r>
    </w:p>
    <w:tbl>
      <w:tblPr>
        <w:tblW w:type="dxa" w:w="9972"/>
        <w:tblBorders>
          <w:top w:val="none"/>
          <w:left w:val="none"/>
          <w:bottom w:val="none"/>
          <w:right w:val="none"/>
          <w:insideH w:val="none"/>
          <w:insideV w:val="none"/>
        </w:tblBorders>
      </w:tblPr>
      <w:tblGrid>
        <w:gridCol w:w="620"/>
        <w:gridCol w:w="9352"/>
      </w:tblGrid>
      <w:tr>
        <w:tc>
          <w:tcPr>
            <w:tcW w:type="dxa" w:w="620"/>
            <w:shd w:fill="D71249" w:color="auto" w:val="clear"/>
            <w:tcMar>
              <w:top w:type="dxa" w:w="80"/>
              <w:left w:type="dxa" w:w="60"/>
              <w:bottom w:type="dxa" w:w="80"/>
              <w:right w:type="dxa" w:w="60"/>
            </w:tcMar>
            <w:vAlign w:val="top"/>
          </w:tcPr>
          <w:p>
            <w:pPr>
              <w:spacing w:after="0"/>
              <w:jc w:val="center"/>
            </w:pPr>
            <w:r>
              <w:rPr>
                <w:rFonts w:ascii="Times New Roman" w:cs="Times New Roman" w:eastAsia="Times New Roman" w:hAnsi="Times New Roman"/>
                <w:b/>
                <w:bCs/>
                <w:color w:val="FFFFFF"/>
                <w:sz w:val="30"/>
                <w:szCs w:val="30"/>
              </w:rPr>
              <w:t xml:space="preserve">2</w:t>
            </w:r>
          </w:p>
        </w:tc>
        <w:tc>
          <w:tcPr>
            <w:tcW w:type="dxa" w:w="9352"/>
            <w:tcMar>
              <w:top w:type="dxa" w:w="60"/>
              <w:left w:type="dxa" w:w="160"/>
              <w:bottom w:type="dxa" w:w="80"/>
              <w:right w:type="dxa" w:w="40"/>
            </w:tcMar>
          </w:tcPr>
          <w:p>
            <w:pPr>
              <w:spacing w:after="0" w:line="276"/>
              <w:jc w:val="both"/>
            </w:pPr>
            <w:r>
              <w:rPr>
                <w:rFonts w:ascii="Times New Roman" w:cs="Times New Roman" w:eastAsia="Times New Roman" w:hAnsi="Times New Roman"/>
                <w:b/>
                <w:bCs/>
                <w:color w:val="0E548F"/>
                <w:sz w:val="26"/>
                <w:szCs w:val="26"/>
              </w:rPr>
              <w:t xml:space="preserve">Câu hỏi "chỉ số về đâu" đã tách làm hai. </w:t>
            </w:r>
            <w:r>
              <w:rPr>
                <w:rFonts w:ascii="Times New Roman" w:cs="Times New Roman" w:eastAsia="Times New Roman" w:hAnsi="Times New Roman"/>
                <w:color w:val="333333"/>
                <w:sz w:val="26"/>
                <w:szCs w:val="26"/>
              </w:rPr>
              <w:t xml:space="preserve">Vingroup đi đâu là một chuyện, phần còn lại đi đâu là chuyện khác, và chúng có thể ngược nhau. Rủi ro đáng ngại nhất: nhóm Vingroup được giữ giá, chỉ số trông ổn định, nhưng danh mục vẫn âm thầm mất thêm khoảng 8%. VIC hiện mới giảm 5,3% trong khi phần còn lại đã mất 13,8% — dư địa để chỉ số đuổi theo thị trường thật vẫn còn phía trước.</w:t>
            </w:r>
          </w:p>
        </w:tc>
      </w:tr>
    </w:tbl>
    <w:p>
      <w:pPr>
        <w:keepNext w:val="false"/>
        <w:spacing w:after="40" w:before="0" w:line="276"/>
        <w:jc w:val="both"/>
      </w:pPr>
      <w:r>
        <w:rPr>
          <w:rFonts w:ascii="Times New Roman" w:cs="Times New Roman" w:eastAsia="Times New Roman" w:hAnsi="Times New Roman"/>
          <w:b w:val="false"/>
          <w:bCs w:val="false"/>
          <w:i w:val="false"/>
          <w:iCs w:val="false"/>
          <w:color w:val="333333"/>
          <w:sz w:val="26"/>
          <w:szCs w:val="26"/>
        </w:rPr>
        <w:t xml:space="preserve"/>
      </w:r>
    </w:p>
    <w:tbl>
      <w:tblPr>
        <w:tblW w:type="dxa" w:w="9972"/>
        <w:tblBorders>
          <w:top w:val="none"/>
          <w:left w:val="none"/>
          <w:bottom w:val="none"/>
          <w:right w:val="none"/>
          <w:insideH w:val="none"/>
          <w:insideV w:val="none"/>
        </w:tblBorders>
      </w:tblPr>
      <w:tblGrid>
        <w:gridCol w:w="620"/>
        <w:gridCol w:w="9352"/>
      </w:tblGrid>
      <w:tr>
        <w:tc>
          <w:tcPr>
            <w:tcW w:type="dxa" w:w="620"/>
            <w:shd w:fill="D71249" w:color="auto" w:val="clear"/>
            <w:tcMar>
              <w:top w:type="dxa" w:w="80"/>
              <w:left w:type="dxa" w:w="60"/>
              <w:bottom w:type="dxa" w:w="80"/>
              <w:right w:type="dxa" w:w="60"/>
            </w:tcMar>
            <w:vAlign w:val="top"/>
          </w:tcPr>
          <w:p>
            <w:pPr>
              <w:spacing w:after="0"/>
              <w:jc w:val="center"/>
            </w:pPr>
            <w:r>
              <w:rPr>
                <w:rFonts w:ascii="Times New Roman" w:cs="Times New Roman" w:eastAsia="Times New Roman" w:hAnsi="Times New Roman"/>
                <w:b/>
                <w:bCs/>
                <w:color w:val="FFFFFF"/>
                <w:sz w:val="30"/>
                <w:szCs w:val="30"/>
              </w:rPr>
              <w:t xml:space="preserve">3</w:t>
            </w:r>
          </w:p>
        </w:tc>
        <w:tc>
          <w:tcPr>
            <w:tcW w:type="dxa" w:w="9352"/>
            <w:tcMar>
              <w:top w:type="dxa" w:w="60"/>
              <w:left w:type="dxa" w:w="160"/>
              <w:bottom w:type="dxa" w:w="80"/>
              <w:right w:type="dxa" w:w="40"/>
            </w:tcMar>
          </w:tcPr>
          <w:p>
            <w:pPr>
              <w:spacing w:after="0" w:line="276"/>
              <w:jc w:val="both"/>
            </w:pPr>
            <w:r>
              <w:rPr>
                <w:rFonts w:ascii="Times New Roman" w:cs="Times New Roman" w:eastAsia="Times New Roman" w:hAnsi="Times New Roman"/>
                <w:b/>
                <w:bCs/>
                <w:color w:val="0E548F"/>
                <w:sz w:val="26"/>
                <w:szCs w:val="26"/>
              </w:rPr>
              <w:t xml:space="preserve">Vùng đáy hợp lý 1.590 – 1.670, nhưng định giá chưa rẻ. </w:t>
            </w:r>
            <w:r>
              <w:rPr>
                <w:rFonts w:ascii="Times New Roman" w:cs="Times New Roman" w:eastAsia="Times New Roman" w:hAnsi="Times New Roman"/>
                <w:color w:val="333333"/>
                <w:sz w:val="26"/>
                <w:szCs w:val="26"/>
              </w:rPr>
              <w:t xml:space="preserve">Đáy tạm 1.668 đã chạm mép trên vùng này. Điểm cần lưu ý: P/E hiện 12,7 lần, cao hơn hầu hết các đáy lịch sử vốn nằm quanh 9,5 đến 12,4 lần. Muốn định giá hấp dẫn như những lần tạo đáy trước, chỉ số cần về vùng 1.470 đến 1.520. Lớp đệm định giá lần này mỏng hơn các lần trước.</w:t>
            </w:r>
          </w:p>
        </w:tc>
      </w:tr>
    </w:tbl>
    <w:p>
      <w:pPr>
        <w:keepNext w:val="false"/>
        <w:spacing w:after="40" w:before="0" w:line="276"/>
        <w:jc w:val="both"/>
      </w:pPr>
      <w:r>
        <w:rPr>
          <w:rFonts w:ascii="Times New Roman" w:cs="Times New Roman" w:eastAsia="Times New Roman" w:hAnsi="Times New Roman"/>
          <w:b w:val="false"/>
          <w:bCs w:val="false"/>
          <w:i w:val="false"/>
          <w:iCs w:val="false"/>
          <w:color w:val="333333"/>
          <w:sz w:val="26"/>
          <w:szCs w:val="26"/>
        </w:rPr>
        <w:t xml:space="preserve"/>
      </w:r>
    </w:p>
    <w:tbl>
      <w:tblPr>
        <w:tblW w:type="dxa" w:w="9972"/>
        <w:tblBorders>
          <w:top w:val="none"/>
          <w:left w:val="none"/>
          <w:bottom w:val="none"/>
          <w:right w:val="none"/>
          <w:insideH w:val="none"/>
          <w:insideV w:val="none"/>
        </w:tblBorders>
      </w:tblPr>
      <w:tblGrid>
        <w:gridCol w:w="620"/>
        <w:gridCol w:w="9352"/>
      </w:tblGrid>
      <w:tr>
        <w:tc>
          <w:tcPr>
            <w:tcW w:type="dxa" w:w="620"/>
            <w:shd w:fill="D71249" w:color="auto" w:val="clear"/>
            <w:tcMar>
              <w:top w:type="dxa" w:w="80"/>
              <w:left w:type="dxa" w:w="60"/>
              <w:bottom w:type="dxa" w:w="80"/>
              <w:right w:type="dxa" w:w="60"/>
            </w:tcMar>
            <w:vAlign w:val="top"/>
          </w:tcPr>
          <w:p>
            <w:pPr>
              <w:spacing w:after="0"/>
              <w:jc w:val="center"/>
            </w:pPr>
            <w:r>
              <w:rPr>
                <w:rFonts w:ascii="Times New Roman" w:cs="Times New Roman" w:eastAsia="Times New Roman" w:hAnsi="Times New Roman"/>
                <w:b/>
                <w:bCs/>
                <w:color w:val="FFFFFF"/>
                <w:sz w:val="30"/>
                <w:szCs w:val="30"/>
              </w:rPr>
              <w:t xml:space="preserve">4</w:t>
            </w:r>
          </w:p>
        </w:tc>
        <w:tc>
          <w:tcPr>
            <w:tcW w:type="dxa" w:w="9352"/>
            <w:tcMar>
              <w:top w:type="dxa" w:w="60"/>
              <w:left w:type="dxa" w:w="160"/>
              <w:bottom w:type="dxa" w:w="80"/>
              <w:right w:type="dxa" w:w="40"/>
            </w:tcMar>
          </w:tcPr>
          <w:p>
            <w:pPr>
              <w:spacing w:after="0" w:line="276"/>
              <w:jc w:val="both"/>
            </w:pPr>
            <w:r>
              <w:rPr>
                <w:rFonts w:ascii="Times New Roman" w:cs="Times New Roman" w:eastAsia="Times New Roman" w:hAnsi="Times New Roman"/>
                <w:b/>
                <w:bCs/>
                <w:color w:val="0E548F"/>
                <w:sz w:val="26"/>
                <w:szCs w:val="26"/>
              </w:rPr>
              <w:t xml:space="preserve">Lực đỡ đang là dòng tiền nội, nhưng chưa thấy tín hiệu bắt đáy. </w:t>
            </w:r>
            <w:r>
              <w:rPr>
                <w:rFonts w:ascii="Times New Roman" w:cs="Times New Roman" w:eastAsia="Times New Roman" w:hAnsi="Times New Roman"/>
                <w:color w:val="333333"/>
                <w:sz w:val="26"/>
                <w:szCs w:val="26"/>
              </w:rPr>
              <w:t xml:space="preserve">Khối ngoại bán ròng 86 nghìn tỷ trong 30 tuần, nhà đầu tư trong nước gánh trọn. Ở lần thủng tháng 3, đáy được xác nhận khi tự doanh đảo chiều mua mạnh và khối ngoại giảm bán. Lần này ngược lại: bán ngoại đang tăng gần gấp đôi, tự doanh đứng yên. Chưa có dấu hiệu tiền lớn quay lại.</w:t>
            </w:r>
          </w:p>
        </w:tc>
      </w:tr>
    </w:tbl>
    <w:p>
      <w:pPr>
        <w:pStyle w:val="Heading2"/>
        <w:spacing w:after="100" w:before="220"/>
      </w:pPr>
      <w:r>
        <w:rPr>
          <w:rFonts w:ascii="Times New Roman" w:cs="Times New Roman" w:eastAsia="Times New Roman" w:hAnsi="Times New Roman"/>
          <w:b/>
          <w:bCs/>
          <w:color w:val="0E548F"/>
          <w:sz w:val="26"/>
          <w:szCs w:val="26"/>
        </w:rPr>
        <w:t xml:space="preserve">Ba mốc đáng theo dõi</w:t>
      </w:r>
    </w:p>
    <w:p>
      <w:pPr>
        <w:keepNext w:val="false"/>
        <w:spacing w:after="60" w:before="0" w:line="276"/>
        <w:jc w:val="both"/>
      </w:pPr>
      <w:r>
        <w:rPr>
          <w:rFonts w:ascii="Times New Roman" w:cs="Times New Roman" w:eastAsia="Times New Roman" w:hAnsi="Times New Roman"/>
          <w:b/>
          <w:bCs/>
          <w:i w:val="false"/>
          <w:iCs w:val="false"/>
          <w:color w:val="0E548F"/>
          <w:sz w:val="26"/>
          <w:szCs w:val="26"/>
        </w:rPr>
        <w:t xml:space="preserve">• Tự doanh mua ròng trên 1.500 tỷ một tuần</w:t>
      </w:r>
      <w:r>
        <w:rPr>
          <w:rFonts w:ascii="Times New Roman" w:cs="Times New Roman" w:eastAsia="Times New Roman" w:hAnsi="Times New Roman"/>
          <w:b w:val="false"/>
          <w:bCs w:val="false"/>
          <w:i w:val="false"/>
          <w:iCs w:val="false"/>
          <w:color w:val="333333"/>
          <w:sz w:val="26"/>
          <w:szCs w:val="26"/>
        </w:rPr>
        <w:t xml:space="preserve"> — tín hiệu đáy đáng tin nhất theo tiền lệ tháng 3.</w:t>
      </w:r>
    </w:p>
    <w:p>
      <w:pPr>
        <w:keepNext w:val="false"/>
        <w:spacing w:after="60" w:before="0" w:line="276"/>
        <w:jc w:val="both"/>
      </w:pPr>
      <w:r>
        <w:rPr>
          <w:rFonts w:ascii="Times New Roman" w:cs="Times New Roman" w:eastAsia="Times New Roman" w:hAnsi="Times New Roman"/>
          <w:b/>
          <w:bCs/>
          <w:i w:val="false"/>
          <w:iCs w:val="false"/>
          <w:color w:val="0E548F"/>
          <w:sz w:val="26"/>
          <w:szCs w:val="26"/>
        </w:rPr>
        <w:t xml:space="preserve">• Khối ngoại giảm bán dưới 2.000 tỷ một tuần</w:t>
      </w:r>
      <w:r>
        <w:rPr>
          <w:rFonts w:ascii="Times New Roman" w:cs="Times New Roman" w:eastAsia="Times New Roman" w:hAnsi="Times New Roman"/>
          <w:b w:val="false"/>
          <w:bCs w:val="false"/>
          <w:i w:val="false"/>
          <w:iCs w:val="false"/>
          <w:color w:val="333333"/>
          <w:sz w:val="26"/>
          <w:szCs w:val="26"/>
        </w:rPr>
        <w:t xml:space="preserve"> — hiện đang tăng bán, chưa có dấu hiệu dừng.</w:t>
      </w:r>
    </w:p>
    <w:p>
      <w:pPr>
        <w:keepNext w:val="false"/>
        <w:spacing w:after="120" w:before="0" w:line="276"/>
        <w:jc w:val="both"/>
      </w:pPr>
      <w:r>
        <w:rPr>
          <w:rFonts w:ascii="Times New Roman" w:cs="Times New Roman" w:eastAsia="Times New Roman" w:hAnsi="Times New Roman"/>
          <w:b/>
          <w:bCs/>
          <w:i w:val="false"/>
          <w:iCs w:val="false"/>
          <w:color w:val="0E548F"/>
          <w:sz w:val="26"/>
          <w:szCs w:val="26"/>
        </w:rPr>
        <w:t xml:space="preserve">• Chỉ số lấy lại 1.773 và giữ được ba phiên</w:t>
      </w:r>
      <w:r>
        <w:rPr>
          <w:rFonts w:ascii="Times New Roman" w:cs="Times New Roman" w:eastAsia="Times New Roman" w:hAnsi="Times New Roman"/>
          <w:b w:val="false"/>
          <w:bCs w:val="false"/>
          <w:i w:val="false"/>
          <w:iCs w:val="false"/>
          <w:color w:val="333333"/>
          <w:sz w:val="26"/>
          <w:szCs w:val="26"/>
        </w:rPr>
        <w:t xml:space="preserve"> — điều kiện xác nhận kịch bản tích cực.</w:t>
      </w:r>
    </w:p>
    <w:p>
      <w:pPr>
        <w:pBdr>
          <w:top w:val="single" w:color="0E548F" w:sz="6"/>
        </w:pBdr>
        <w:spacing w:after="60" w:before="200"/>
      </w:pPr>
      <w:r>
        <w:rPr>
          <w:rFonts w:ascii="Times New Roman" w:cs="Times New Roman" w:eastAsia="Times New Roman" w:hAnsi="Times New Roman"/>
          <w:b/>
          <w:bCs/>
          <w:color w:val="0E548F"/>
          <w:sz w:val="22"/>
          <w:szCs w:val="22"/>
        </w:rPr>
        <w:t xml:space="preserve">KHUYẾN CÁO</w:t>
      </w:r>
    </w:p>
    <w:p>
      <w:pPr>
        <w:keepNext w:val="false"/>
        <w:spacing w:after="120" w:before="0" w:line="276"/>
        <w:jc w:val="both"/>
      </w:pPr>
      <w:r>
        <w:rPr>
          <w:rFonts w:ascii="Times New Roman" w:cs="Times New Roman" w:eastAsia="Times New Roman" w:hAnsi="Times New Roman"/>
          <w:b w:val="false"/>
          <w:bCs w:val="false"/>
          <w:i/>
          <w:iCs/>
          <w:color w:val="666666"/>
          <w:sz w:val="22"/>
          <w:szCs w:val="22"/>
        </w:rPr>
        <w:t xml:space="preserve">Báo cáo mang tính tham khảo, dựa trên dữ liệu lịch sử. Chỉ có năm lần thủng để đối chiếu, lại trải ba bối cảnh rất khác nhau, và quan trọng nhất là cấu trúc chỉ số đã thay đổi căn bản khi tỷ trọng Vingroup nhảy từ 6% lên gần 28%. Vì vậy các con số ở đây là điểm định vị, không phải dự báo hay giá mục tiêu. Số liệu Vingroup và phần tách tổ chức, cá nhân là ước lượng, không phải số liệu chính thức.</w:t>
      </w:r>
    </w:p>
    <w:p>
      <w:pPr>
        <w:keepNext w:val="false"/>
        <w:spacing w:after="120" w:before="0" w:line="276"/>
        <w:jc w:val="both"/>
      </w:pPr>
      <w:r>
        <w:rPr>
          <w:rFonts w:ascii="Times New Roman" w:cs="Times New Roman" w:eastAsia="Times New Roman" w:hAnsi="Times New Roman"/>
          <w:b w:val="false"/>
          <w:bCs w:val="false"/>
          <w:i/>
          <w:iCs/>
          <w:color w:val="666666"/>
          <w:sz w:val="22"/>
          <w:szCs w:val="22"/>
        </w:rPr>
        <w:t xml:space="preserve">Các giả định nền: khung thời gian vài tuần đến ba tháng; danh mục cổ phiếu phân tán, không tập trung nhóm Vingroup; không dùng đòn bẩy. Đổi bất kỳ giả định nào cũng làm đổi kết luận, nhất là Bảng 8. Quyết định mua bán thuộc về nhà đầu tư, cần cân nhắc thêm tình hình tài chính cá nhân, khẩu vị rủi ro và các nguồn độc lập. Đây không phải lời khuyên đầu tư cá nhân hóa.</w:t>
      </w:r>
    </w:p>
    <w:p>
      <w:pPr>
        <w:keepNext w:val="false"/>
        <w:spacing w:after="120" w:before="80" w:line="276"/>
        <w:jc w:val="both"/>
      </w:pPr>
      <w:r>
        <w:rPr>
          <w:rFonts w:ascii="Times New Roman" w:cs="Times New Roman" w:eastAsia="Times New Roman" w:hAnsi="Times New Roman"/>
          <w:b w:val="false"/>
          <w:bCs w:val="false"/>
          <w:i/>
          <w:iCs/>
          <w:color w:val="888888"/>
          <w:sz w:val="20"/>
          <w:szCs w:val="20"/>
        </w:rPr>
        <w:t xml:space="preserve">Báo cáo được thực hiện theo Công văn số 3760/UBCKNN. Mọi thông tin trong báo cáo là tài sản của Công ty Chứng khoán VBSE.</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Khi chỉ số không còn là thị trường</dc:title>
  <dc:creator>VBSE Research</dc:creator>
  <cp:lastModifiedBy>Un-named</cp:lastModifiedBy>
  <cp:revision>1</cp:revision>
  <dcterms:created xsi:type="dcterms:W3CDTF">2026-07-26T02:00:50.992Z</dcterms:created>
  <dcterms:modified xsi:type="dcterms:W3CDTF">2026-07-26T02:00:50.992Z</dcterms:modified>
</cp:coreProperties>
</file>

<file path=docProps/custom.xml><?xml version="1.0" encoding="utf-8"?>
<Properties xmlns="http://schemas.openxmlformats.org/officeDocument/2006/custom-properties" xmlns:vt="http://schemas.openxmlformats.org/officeDocument/2006/docPropsVTypes"/>
</file>