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8C96" w14:textId="77777777" w:rsidR="00A465DB" w:rsidRDefault="00A465DB" w:rsidP="00A465DB">
      <w:pPr>
        <w:jc w:val="center"/>
      </w:pPr>
      <w:r w:rsidRPr="00A465DB">
        <w:t>Space Plasma Physics (PHYS 712/812)</w:t>
      </w:r>
    </w:p>
    <w:p w14:paraId="4E81E1CA" w14:textId="77777777" w:rsidR="00A465DB" w:rsidRDefault="00A465DB" w:rsidP="00A465DB">
      <w:pPr>
        <w:jc w:val="center"/>
      </w:pPr>
      <w:r w:rsidRPr="00A465DB">
        <w:t>Homework #4</w:t>
      </w:r>
    </w:p>
    <w:p w14:paraId="4508F88B" w14:textId="5A097A15" w:rsidR="00A465DB" w:rsidRDefault="00A465DB" w:rsidP="00A465DB">
      <w:pPr>
        <w:jc w:val="center"/>
      </w:pPr>
      <w:r w:rsidRPr="00A465DB">
        <w:t xml:space="preserve">Due May </w:t>
      </w:r>
      <w:r w:rsidR="00002CA0">
        <w:t>3</w:t>
      </w:r>
      <w:r w:rsidRPr="00A465DB">
        <w:t>, 2020</w:t>
      </w:r>
    </w:p>
    <w:p w14:paraId="1D840679" w14:textId="536AAD56" w:rsidR="00A465DB" w:rsidRDefault="00A465DB" w:rsidP="00A465DB">
      <w:pPr>
        <w:ind w:firstLine="720"/>
      </w:pPr>
      <w:r w:rsidRPr="00A465DB">
        <w:t>Figure 1 shows satellite data from the THEMIS-A spacecraft on January 17, 2013.  Note that</w:t>
      </w:r>
      <w:r>
        <w:t xml:space="preserve"> </w:t>
      </w:r>
      <w:r w:rsidRPr="00A465DB">
        <w:t>GSE coordinates are:  +X is from the Earth to the sun, +Y is in the plane of Earth’s orbit in the</w:t>
      </w:r>
      <w:r>
        <w:t xml:space="preserve"> </w:t>
      </w:r>
      <w:r w:rsidRPr="00A465DB">
        <w:t>opposite direction, and +Z is perpendicular to both in the northern direction.  Use the plots, and</w:t>
      </w:r>
      <w:r>
        <w:t xml:space="preserve"> </w:t>
      </w:r>
      <w:r w:rsidRPr="00A465DB">
        <w:t>value estimates taken from the plots, to answer the following questions:</w:t>
      </w:r>
    </w:p>
    <w:p w14:paraId="287B65B2" w14:textId="1D8AD029" w:rsidR="00A465DB" w:rsidRDefault="00A465DB">
      <w:r w:rsidRPr="00A465DB">
        <w:t>1.  Identify the regions that the spacecraft occupies during the time periods marked with A, B,</w:t>
      </w:r>
      <w:r>
        <w:t xml:space="preserve"> </w:t>
      </w:r>
      <w:r w:rsidRPr="00A465DB">
        <w:t>and C.</w:t>
      </w:r>
    </w:p>
    <w:p w14:paraId="71606C30" w14:textId="2C5B69CC" w:rsidR="00001AA7" w:rsidRDefault="00001AA7">
      <w:r>
        <w:t xml:space="preserve">A. </w:t>
      </w:r>
      <w:r w:rsidR="00C12746">
        <w:t xml:space="preserve">Magnetopause </w:t>
      </w:r>
    </w:p>
    <w:p w14:paraId="0B37523C" w14:textId="79C75A8C" w:rsidR="00001AA7" w:rsidRDefault="00001AA7">
      <w:r>
        <w:t xml:space="preserve">B. </w:t>
      </w:r>
      <w:r w:rsidR="00C12746">
        <w:t xml:space="preserve">Magnetosheath </w:t>
      </w:r>
    </w:p>
    <w:p w14:paraId="3AAB1906" w14:textId="4314D34A" w:rsidR="00A465DB" w:rsidRDefault="00001AA7">
      <w:r>
        <w:t>C.</w:t>
      </w:r>
      <w:r w:rsidR="00C12746">
        <w:t xml:space="preserve"> Bow Shock </w:t>
      </w:r>
    </w:p>
    <w:p w14:paraId="1E7592A3" w14:textId="77777777" w:rsidR="001A5541" w:rsidRDefault="00A465DB">
      <w:pPr>
        <w:rPr>
          <w:noProof/>
        </w:rPr>
      </w:pPr>
      <w:r w:rsidRPr="00A465DB">
        <w:t>2.  Estimate the outward distance, in</w:t>
      </w:r>
      <w:r>
        <w:t xml:space="preserve"> </w:t>
      </w:r>
      <w:r w:rsidRPr="00A465DB">
        <w:t>RE, of the magnetopause location in the direction of the</w:t>
      </w:r>
      <w:r>
        <w:t xml:space="preserve"> </w:t>
      </w:r>
      <w:r w:rsidRPr="00A465DB">
        <w:t xml:space="preserve">sun from pressure balance.  Does this match the location shown on the plot (using the X, </w:t>
      </w:r>
      <w:proofErr w:type="gramStart"/>
      <w:r w:rsidRPr="00A465DB">
        <w:t>Y,Z</w:t>
      </w:r>
      <w:proofErr w:type="gramEnd"/>
      <w:r w:rsidRPr="00A465DB">
        <w:t xml:space="preserve"> coordinates at the bottom)?  If not, why not?</w:t>
      </w:r>
      <w:r w:rsidR="001A5541" w:rsidRPr="001A5541">
        <w:rPr>
          <w:noProof/>
        </w:rPr>
        <w:t xml:space="preserve"> </w:t>
      </w:r>
    </w:p>
    <w:p w14:paraId="5FD8CBA9" w14:textId="19F671B9" w:rsidR="00C12746" w:rsidRDefault="001A5541" w:rsidP="001A5541">
      <w:pPr>
        <w:jc w:val="center"/>
      </w:pPr>
      <w:r>
        <w:rPr>
          <w:noProof/>
        </w:rPr>
        <w:drawing>
          <wp:inline distT="0" distB="0" distL="0" distR="0" wp14:anchorId="24CE3AC9" wp14:editId="59101232">
            <wp:extent cx="1971919" cy="46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210" cy="4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A67B" w14:textId="7E8790E7" w:rsidR="00C12746" w:rsidRPr="001A5541" w:rsidRDefault="00817F57">
      <w:p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</w:pPr>
      <w:r w:rsidRPr="001A5541">
        <w:rPr>
          <w:noProof/>
        </w:rPr>
        <w:t>L</w:t>
      </w:r>
      <w:r w:rsidRPr="001A5541">
        <w:rPr>
          <w:noProof/>
        </w:rPr>
        <w:softHyphen/>
      </w:r>
      <w:r w:rsidRPr="001A5541">
        <w:rPr>
          <w:noProof/>
          <w:vertAlign w:val="subscript"/>
        </w:rPr>
        <w:t xml:space="preserve">s </w:t>
      </w:r>
      <w:r w:rsidRPr="001A5541">
        <w:rPr>
          <w:noProof/>
        </w:rPr>
        <w:t>= (</w:t>
      </w:r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µ</w:t>
      </w:r>
      <w:r w:rsidRPr="001A5541">
        <w:rPr>
          <w:rStyle w:val="Strong"/>
          <w:rFonts w:ascii="Arial" w:hAnsi="Arial" w:cs="Arial"/>
          <w:b w:val="0"/>
          <w:bCs w:val="0"/>
          <w:color w:val="333333"/>
          <w:sz w:val="16"/>
          <w:szCs w:val="16"/>
          <w:shd w:val="clear" w:color="auto" w:fill="FFFFFF"/>
          <w:vertAlign w:val="subscript"/>
        </w:rPr>
        <w:t>0 </w:t>
      </w:r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= 12.57 × 10</w:t>
      </w:r>
      <w:r w:rsidRPr="001A5541">
        <w:rPr>
          <w:rStyle w:val="Strong"/>
          <w:rFonts w:ascii="Arial" w:hAnsi="Arial" w:cs="Arial"/>
          <w:b w:val="0"/>
          <w:bCs w:val="0"/>
          <w:color w:val="333333"/>
          <w:sz w:val="16"/>
          <w:szCs w:val="16"/>
          <w:shd w:val="clear" w:color="auto" w:fill="FFFFFF"/>
          <w:vertAlign w:val="superscript"/>
        </w:rPr>
        <w:t>-7</w:t>
      </w:r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 H/</w:t>
      </w:r>
      <w:proofErr w:type="gramStart"/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m</w:t>
      </w:r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)*</w:t>
      </w:r>
      <w:proofErr w:type="gramEnd"/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(4.0atoms / cc^3)^(-1/6)  * </w:t>
      </w:r>
      <w:r w:rsidR="001A5541"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(</w:t>
      </w:r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(</w:t>
      </w:r>
      <w:r w:rsidR="001A5541"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3.1x10^4nT)/(1.3x10^4)^(1/3)</w:t>
      </w:r>
    </w:p>
    <w:p w14:paraId="31CEEA13" w14:textId="09683B50" w:rsidR="001A5541" w:rsidRPr="001A5541" w:rsidRDefault="001A5541" w:rsidP="001A5541"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>L</w:t>
      </w:r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  <w:vertAlign w:val="subscript"/>
        </w:rPr>
        <w:t xml:space="preserve">s </w:t>
      </w:r>
      <w:r w:rsidRPr="001A5541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= 8.34 </w:t>
      </w:r>
    </w:p>
    <w:p w14:paraId="4C650527" w14:textId="7AF907FD" w:rsidR="00C12746" w:rsidRDefault="001A5541">
      <w:r>
        <w:t xml:space="preserve">This does not </w:t>
      </w:r>
      <w:r w:rsidR="00F87886">
        <w:t xml:space="preserve">exactly match the location shown o the plot, this can be explained due to differences in experimental data verses theoretical equations. </w:t>
      </w:r>
    </w:p>
    <w:p w14:paraId="2AE91CA6" w14:textId="1B0A01AA" w:rsidR="00A465DB" w:rsidRDefault="00A465DB">
      <w:r w:rsidRPr="00A465DB">
        <w:t xml:space="preserve">3.  </w:t>
      </w:r>
      <w:r w:rsidRPr="00A465DB">
        <w:t>Estimate the</w:t>
      </w:r>
      <w:r w:rsidRPr="00A465DB">
        <w:t xml:space="preserve"> outward distance, in</w:t>
      </w:r>
      <w:r>
        <w:t xml:space="preserve"> </w:t>
      </w:r>
      <w:r w:rsidRPr="00A465DB">
        <w:t>RE, of the bow shock from the equations in the notes.</w:t>
      </w:r>
      <w:r>
        <w:t xml:space="preserve"> </w:t>
      </w:r>
      <w:r w:rsidRPr="00A465DB">
        <w:t>Does this match the location shown on the plot?  If not, why not?</w:t>
      </w:r>
    </w:p>
    <w:p w14:paraId="5C24EB89" w14:textId="72128B51" w:rsidR="00A465DB" w:rsidRDefault="007356E0">
      <w:proofErr w:type="spellStart"/>
      <w:r>
        <w:t>R</w:t>
      </w:r>
      <w:r>
        <w:rPr>
          <w:vertAlign w:val="subscript"/>
        </w:rPr>
        <w:t>bowshock</w:t>
      </w:r>
      <w:proofErr w:type="spellEnd"/>
      <w:r>
        <w:rPr>
          <w:vertAlign w:val="subscript"/>
        </w:rPr>
        <w:t xml:space="preserve"> </w:t>
      </w:r>
      <w:r>
        <w:t xml:space="preserve">/ </w:t>
      </w:r>
      <w:proofErr w:type="spellStart"/>
      <w:r>
        <w:t>R</w:t>
      </w:r>
      <w:r>
        <w:rPr>
          <w:vertAlign w:val="subscript"/>
        </w:rPr>
        <w:t>magnetopause</w:t>
      </w:r>
      <w:proofErr w:type="spellEnd"/>
      <w:r>
        <w:rPr>
          <w:vertAlign w:val="subscript"/>
        </w:rPr>
        <w:t xml:space="preserve"> </w:t>
      </w:r>
      <w:r>
        <w:t>= 1+ 1.1 (</w:t>
      </w:r>
      <w:proofErr w:type="spellStart"/>
      <w:r>
        <w:t>N</w:t>
      </w:r>
      <w:r>
        <w:rPr>
          <w:vertAlign w:val="subscript"/>
        </w:rPr>
        <w:t>infinity</w:t>
      </w:r>
      <w:proofErr w:type="spellEnd"/>
      <w:r>
        <w:t xml:space="preserve">/N) </w:t>
      </w:r>
    </w:p>
    <w:p w14:paraId="4C7795BD" w14:textId="0FAA2776" w:rsidR="007356E0" w:rsidRDefault="007356E0">
      <w:r>
        <w:t xml:space="preserve">With </w:t>
      </w:r>
      <w:proofErr w:type="spellStart"/>
      <w:r>
        <w:t>N</w:t>
      </w:r>
      <w:r>
        <w:rPr>
          <w:vertAlign w:val="subscript"/>
        </w:rPr>
        <w:t>infinity</w:t>
      </w:r>
      <w:proofErr w:type="spellEnd"/>
      <w:r>
        <w:rPr>
          <w:vertAlign w:val="subscript"/>
        </w:rPr>
        <w:t xml:space="preserve"> </w:t>
      </w:r>
      <w:r>
        <w:t>= 1</w:t>
      </w:r>
    </w:p>
    <w:p w14:paraId="0DB88388" w14:textId="460C11E8" w:rsidR="007356E0" w:rsidRPr="007356E0" w:rsidRDefault="007356E0">
      <w:proofErr w:type="spellStart"/>
      <w:r>
        <w:t>R</w:t>
      </w:r>
      <w:r>
        <w:rPr>
          <w:vertAlign w:val="subscript"/>
        </w:rPr>
        <w:t>bowshock</w:t>
      </w:r>
      <w:proofErr w:type="spellEnd"/>
      <w:r>
        <w:rPr>
          <w:vertAlign w:val="subscript"/>
        </w:rPr>
        <w:t xml:space="preserve"> </w:t>
      </w:r>
      <w:r>
        <w:t xml:space="preserve">/ </w:t>
      </w:r>
      <w:proofErr w:type="spellStart"/>
      <w:r>
        <w:t>R</w:t>
      </w:r>
      <w:r>
        <w:rPr>
          <w:vertAlign w:val="subscript"/>
        </w:rPr>
        <w:t>magnetopause</w:t>
      </w:r>
      <w:proofErr w:type="spellEnd"/>
      <w:r>
        <w:rPr>
          <w:vertAlign w:val="subscript"/>
        </w:rPr>
        <w:t xml:space="preserve"> </w:t>
      </w:r>
      <w:r>
        <w:t xml:space="preserve">= 1.0111 </w:t>
      </w:r>
    </w:p>
    <w:p w14:paraId="3E94BC71" w14:textId="41545A9C" w:rsidR="00A465DB" w:rsidRDefault="00A465DB">
      <w:r w:rsidRPr="00A465DB">
        <w:t>4.  Estimate the energy input rate (in Watts) using the epsilon coupling parameter, using</w:t>
      </w:r>
      <w:r>
        <w:t xml:space="preserve"> </w:t>
      </w:r>
      <w:r w:rsidRPr="00A465DB">
        <w:t>l=r</w:t>
      </w:r>
      <w:r w:rsidRPr="00A465DB">
        <w:rPr>
          <w:vertAlign w:val="subscript"/>
        </w:rPr>
        <w:t>mp</w:t>
      </w:r>
      <w:r w:rsidRPr="00A465DB">
        <w:t>.</w:t>
      </w:r>
    </w:p>
    <w:p w14:paraId="513C182C" w14:textId="27F2EDF0" w:rsidR="00925F99" w:rsidRPr="00AB5B7C" w:rsidRDefault="00925F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sw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38C62E1D" w14:textId="2EF4E509" w:rsidR="00AB5B7C" w:rsidRDefault="00AB5B7C">
      <w:pPr>
        <w:rPr>
          <w:rFonts w:eastAsiaTheme="minorEastAsia"/>
        </w:rPr>
      </w:pPr>
      <m:oMath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=(4pi)/(12.57x10</m:t>
        </m:r>
      </m:oMath>
      <w:r>
        <w:rPr>
          <w:rFonts w:eastAsiaTheme="minorEastAsia"/>
          <w:vertAlign w:val="superscript"/>
        </w:rPr>
        <w:t>-7</w:t>
      </w:r>
      <w:r>
        <w:rPr>
          <w:rFonts w:eastAsiaTheme="minorEastAsia"/>
        </w:rPr>
        <w:t>h/</w:t>
      </w:r>
      <w:proofErr w:type="gramStart"/>
      <w:r>
        <w:rPr>
          <w:rFonts w:eastAsiaTheme="minorEastAsia"/>
        </w:rPr>
        <w:t>m)*</w:t>
      </w:r>
      <w:proofErr w:type="gramEnd"/>
      <w:r>
        <w:rPr>
          <w:rFonts w:eastAsiaTheme="minorEastAsia"/>
        </w:rPr>
        <w:t>(</w:t>
      </w:r>
      <w:r w:rsidRPr="00AB5B7C">
        <w:t xml:space="preserve"> </w:t>
      </w:r>
      <w:r w:rsidRPr="00AB5B7C">
        <w:rPr>
          <w:rFonts w:eastAsiaTheme="minorEastAsia"/>
        </w:rPr>
        <w:t>1609344</w:t>
      </w:r>
      <w:r>
        <w:rPr>
          <w:rFonts w:eastAsiaTheme="minorEastAsia"/>
        </w:rPr>
        <w:t>km/</w:t>
      </w:r>
      <w:proofErr w:type="spellStart"/>
      <w:r>
        <w:rPr>
          <w:rFonts w:eastAsiaTheme="minorEastAsia"/>
        </w:rPr>
        <w:t>hr</w:t>
      </w:r>
      <w:proofErr w:type="spellEnd"/>
      <w:r>
        <w:rPr>
          <w:rFonts w:eastAsiaTheme="minorEastAsia"/>
        </w:rPr>
        <w:t>)*(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>)*sin</w:t>
      </w:r>
      <w:r>
        <w:rPr>
          <w:rFonts w:eastAsiaTheme="minorEastAsia"/>
          <w:vertAlign w:val="superscript"/>
        </w:rPr>
        <w:t>4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081FC1" w14:textId="0E5DB239" w:rsidR="00AB5B7C" w:rsidRDefault="00AB5B7C">
      <w:r>
        <w:rPr>
          <w:rFonts w:eastAsiaTheme="minorEastAsia"/>
        </w:rPr>
        <w:t xml:space="preserve">Unable to relate </w:t>
      </w:r>
      <m:oMath>
        <m:r>
          <w:rPr>
            <w:rFonts w:ascii="Cambria Math" w:hAnsi="Cambria Math"/>
          </w:rPr>
          <m:t>ϵ</m:t>
        </m:r>
      </m:oMath>
      <w:r w:rsidRPr="00A465DB">
        <w:t xml:space="preserve"> </w:t>
      </w:r>
      <w:r>
        <w:t xml:space="preserve">to </w:t>
      </w:r>
      <w:r w:rsidRPr="00A465DB">
        <w:t>l=r</w:t>
      </w:r>
      <w:r w:rsidRPr="00A465DB">
        <w:rPr>
          <w:vertAlign w:val="subscript"/>
        </w:rPr>
        <w:t>mp</w:t>
      </w:r>
      <w:r>
        <w:t xml:space="preserve">. </w:t>
      </w:r>
    </w:p>
    <w:p w14:paraId="606A9671" w14:textId="77777777" w:rsidR="00AB5B7C" w:rsidRDefault="00AB5B7C"/>
    <w:p w14:paraId="444D7D92" w14:textId="0F0F7E3D" w:rsidR="00A949C3" w:rsidRDefault="00A465DB">
      <w:r w:rsidRPr="00A465DB">
        <w:lastRenderedPageBreak/>
        <w:t>5.  Does the plot indicate any ongoing geomagnetic activity?  Explain.</w:t>
      </w:r>
    </w:p>
    <w:p w14:paraId="1E82DDC3" w14:textId="6E29B09D" w:rsidR="00CF16CF" w:rsidRDefault="00CF16CF">
      <w:r>
        <w:tab/>
        <w:t xml:space="preserve">The plot shows a residual amount of AE effect lingering past the 3/18 cutoff date, along with a substantial amount of SST activity. While not as strong as the initial 3/17 plasma storm, this may be considered an ongoing geomagnetic activity. </w:t>
      </w:r>
    </w:p>
    <w:p w14:paraId="009786AB" w14:textId="0FA894EA" w:rsidR="00A465DB" w:rsidRDefault="00A465DB">
      <w:r>
        <w:rPr>
          <w:noProof/>
        </w:rPr>
        <w:drawing>
          <wp:inline distT="0" distB="0" distL="0" distR="0" wp14:anchorId="516596DE" wp14:editId="5358C1CC">
            <wp:extent cx="5496414" cy="5987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764" cy="60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311E" w14:textId="77777777" w:rsidR="00A465DB" w:rsidRDefault="00A465DB"/>
    <w:p w14:paraId="75D26D10" w14:textId="688D4C6F" w:rsidR="00A465DB" w:rsidRDefault="00A465DB">
      <w:proofErr w:type="gramStart"/>
      <w:r w:rsidRPr="00A465DB">
        <w:t>Figure  1</w:t>
      </w:r>
      <w:proofErr w:type="gramEnd"/>
      <w:r w:rsidRPr="00A465DB">
        <w:t>:   THEMIS-A  data  from  January  17,  2013.   The  panels,  from  top  to  bottom,  are  AE,</w:t>
      </w:r>
      <w:r>
        <w:t xml:space="preserve"> </w:t>
      </w:r>
      <w:proofErr w:type="spellStart"/>
      <w:r w:rsidRPr="00A465DB">
        <w:t>keogram</w:t>
      </w:r>
      <w:proofErr w:type="spellEnd"/>
      <w:r w:rsidRPr="00A465DB">
        <w:t xml:space="preserve"> of auroral brightness, magnetic field (B FIT), density (Ni, Ne), ion velocity (V), temperature (</w:t>
      </w:r>
      <w:proofErr w:type="spellStart"/>
      <w:r w:rsidRPr="00A465DB">
        <w:t>Ti</w:t>
      </w:r>
      <w:proofErr w:type="spellEnd"/>
      <w:r w:rsidRPr="00A465DB">
        <w:t xml:space="preserve">, </w:t>
      </w:r>
      <w:proofErr w:type="spellStart"/>
      <w:r w:rsidRPr="00A465DB">
        <w:t>Te</w:t>
      </w:r>
      <w:proofErr w:type="spellEnd"/>
      <w:r w:rsidRPr="00A465DB">
        <w:t>), ion energy flux (SST: high E, ESA: low E), electron energy flux, and spectrograms</w:t>
      </w:r>
      <w:r>
        <w:t xml:space="preserve"> </w:t>
      </w:r>
      <w:r w:rsidRPr="00A465DB">
        <w:t>for electric and magnetic fields (FBK).</w:t>
      </w:r>
    </w:p>
    <w:sectPr w:rsidR="00A465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19F9E" w14:textId="77777777" w:rsidR="00AE5195" w:rsidRDefault="00AE5195" w:rsidP="00CF16CF">
      <w:pPr>
        <w:spacing w:after="0" w:line="240" w:lineRule="auto"/>
      </w:pPr>
      <w:r>
        <w:separator/>
      </w:r>
    </w:p>
  </w:endnote>
  <w:endnote w:type="continuationSeparator" w:id="0">
    <w:p w14:paraId="7C1BC988" w14:textId="77777777" w:rsidR="00AE5195" w:rsidRDefault="00AE5195" w:rsidP="00CF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8EC41" w14:textId="77777777" w:rsidR="00AE5195" w:rsidRDefault="00AE5195" w:rsidP="00CF16CF">
      <w:pPr>
        <w:spacing w:after="0" w:line="240" w:lineRule="auto"/>
      </w:pPr>
      <w:r>
        <w:separator/>
      </w:r>
    </w:p>
  </w:footnote>
  <w:footnote w:type="continuationSeparator" w:id="0">
    <w:p w14:paraId="0F108848" w14:textId="77777777" w:rsidR="00AE5195" w:rsidRDefault="00AE5195" w:rsidP="00CF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7A702" w14:textId="64CAAB6D" w:rsidR="00CF16CF" w:rsidRDefault="00CF16CF" w:rsidP="00CF16CF">
    <w:pPr>
      <w:pStyle w:val="Header"/>
      <w:jc w:val="right"/>
    </w:pPr>
    <w:r>
      <w:t>Thomas Collins</w:t>
    </w:r>
  </w:p>
  <w:p w14:paraId="4E1F5CE6" w14:textId="6B69354B" w:rsidR="00CF16CF" w:rsidRDefault="00CF16CF" w:rsidP="00CF16CF">
    <w:pPr>
      <w:pStyle w:val="Header"/>
      <w:jc w:val="right"/>
    </w:pPr>
    <w:r>
      <w:t>Phys 712-01</w:t>
    </w:r>
  </w:p>
  <w:p w14:paraId="3E2E6AE4" w14:textId="56204153" w:rsidR="00CF16CF" w:rsidRDefault="00CF16CF" w:rsidP="00CF16CF">
    <w:pPr>
      <w:pStyle w:val="Header"/>
      <w:jc w:val="right"/>
    </w:pPr>
    <w:r>
      <w:t>Due: 5/3/2020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DB"/>
    <w:rsid w:val="00001AA7"/>
    <w:rsid w:val="00002CA0"/>
    <w:rsid w:val="001A5541"/>
    <w:rsid w:val="00270070"/>
    <w:rsid w:val="007356E0"/>
    <w:rsid w:val="00817F57"/>
    <w:rsid w:val="00925F99"/>
    <w:rsid w:val="00A465DB"/>
    <w:rsid w:val="00AB5B7C"/>
    <w:rsid w:val="00AE5195"/>
    <w:rsid w:val="00C12746"/>
    <w:rsid w:val="00CF16CF"/>
    <w:rsid w:val="00F076A0"/>
    <w:rsid w:val="00F30D17"/>
    <w:rsid w:val="00F8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90EA"/>
  <w15:chartTrackingRefBased/>
  <w15:docId w15:val="{18AEE91D-64DD-47FB-A8BC-0C710200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7F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6CF"/>
  </w:style>
  <w:style w:type="paragraph" w:styleId="Footer">
    <w:name w:val="footer"/>
    <w:basedOn w:val="Normal"/>
    <w:link w:val="FooterChar"/>
    <w:uiPriority w:val="99"/>
    <w:unhideWhenUsed/>
    <w:rsid w:val="00CF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6CF"/>
  </w:style>
  <w:style w:type="character" w:styleId="PlaceholderText">
    <w:name w:val="Placeholder Text"/>
    <w:basedOn w:val="DefaultParagraphFont"/>
    <w:uiPriority w:val="99"/>
    <w:semiHidden/>
    <w:rsid w:val="00AB5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Alice C</dc:creator>
  <cp:keywords/>
  <dc:description/>
  <cp:lastModifiedBy>Wade, Alice C</cp:lastModifiedBy>
  <cp:revision>1</cp:revision>
  <dcterms:created xsi:type="dcterms:W3CDTF">2020-05-03T15:41:00Z</dcterms:created>
  <dcterms:modified xsi:type="dcterms:W3CDTF">2020-05-04T03:25:00Z</dcterms:modified>
</cp:coreProperties>
</file>