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анализа CVSS3.1, CVSS4.0, EPSS, OWASP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Уязвимость</w:t>
            </w:r>
          </w:p>
        </w:tc>
        <w:tc>
          <w:tcPr>
            <w:tcW w:type="dxa" w:w="1728"/>
          </w:tcPr>
          <w:p>
            <w:r>
              <w:t>Оценка CVSS 3.1</w:t>
            </w:r>
          </w:p>
        </w:tc>
        <w:tc>
          <w:tcPr>
            <w:tcW w:type="dxa" w:w="1728"/>
          </w:tcPr>
          <w:p>
            <w:r>
              <w:t>Оценка CVSS 4.0</w:t>
            </w:r>
          </w:p>
        </w:tc>
        <w:tc>
          <w:tcPr>
            <w:tcW w:type="dxa" w:w="1728"/>
          </w:tcPr>
          <w:p>
            <w:r>
              <w:t>Оценка EPSS</w:t>
            </w:r>
          </w:p>
        </w:tc>
        <w:tc>
          <w:tcPr>
            <w:tcW w:type="dxa" w:w="1728"/>
          </w:tcPr>
          <w:p>
            <w:r>
              <w:t>Оценка OWASP</w:t>
            </w:r>
          </w:p>
        </w:tc>
      </w:tr>
      <w:tr>
        <w:tc>
          <w:tcPr>
            <w:tcW w:type="dxa" w:w="1728"/>
          </w:tcPr>
          <w:p>
            <w:r>
              <w:t>CVE-2020-10189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0.973770000</w:t>
            </w:r>
          </w:p>
        </w:tc>
        <w:tc>
          <w:tcPr>
            <w:tcW w:type="dxa" w:w="1728"/>
          </w:tcPr>
          <w:p>
            <w:r>
              <w:t>9.875</w:t>
            </w:r>
          </w:p>
        </w:tc>
      </w:tr>
      <w:tr>
        <w:tc>
          <w:tcPr>
            <w:tcW w:type="dxa" w:w="1728"/>
          </w:tcPr>
          <w:p>
            <w:r>
              <w:t>CVE-2020-10189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0.973770000</w:t>
            </w:r>
          </w:p>
        </w:tc>
        <w:tc>
          <w:tcPr>
            <w:tcW w:type="dxa" w:w="1728"/>
          </w:tcPr>
          <w:p>
            <w:r>
              <w:t>8.750</w:t>
            </w:r>
          </w:p>
        </w:tc>
      </w:tr>
    </w:tbl>
    <w:p/>
    <w:p>
      <w:pPr>
        <w:pStyle w:val="Heading1"/>
      </w:pPr>
      <w:r>
        <w:t>Нормализованные оценки критичности уязвимостей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Уязвимость</w:t>
            </w:r>
          </w:p>
        </w:tc>
        <w:tc>
          <w:tcPr>
            <w:tcW w:type="dxa" w:w="1728"/>
          </w:tcPr>
          <w:p>
            <w:r>
              <w:t>Норм. CVSS 3.1</w:t>
            </w:r>
          </w:p>
        </w:tc>
        <w:tc>
          <w:tcPr>
            <w:tcW w:type="dxa" w:w="1728"/>
          </w:tcPr>
          <w:p>
            <w:r>
              <w:t>Норм. CVSS 4.0</w:t>
            </w:r>
          </w:p>
        </w:tc>
        <w:tc>
          <w:tcPr>
            <w:tcW w:type="dxa" w:w="1728"/>
          </w:tcPr>
          <w:p>
            <w:r>
              <w:t>Норм. EPSS</w:t>
            </w:r>
          </w:p>
        </w:tc>
        <w:tc>
          <w:tcPr>
            <w:tcW w:type="dxa" w:w="1728"/>
          </w:tcPr>
          <w:p>
            <w:r>
              <w:t>Норм. OWASP</w:t>
            </w:r>
          </w:p>
        </w:tc>
      </w:tr>
      <w:tr>
        <w:tc>
          <w:tcPr>
            <w:tcW w:type="dxa" w:w="1728"/>
          </w:tcPr>
          <w:p>
            <w:r>
              <w:t>CVE-2020-10189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0.97377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</w:tr>
      <w:tr>
        <w:tc>
          <w:tcPr>
            <w:tcW w:type="dxa" w:w="1728"/>
          </w:tcPr>
          <w:p>
            <w:r>
              <w:t>CVE-2020-10189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0.97377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</w:tr>
    </w:tbl>
    <w:p/>
    <w:p>
      <w:pPr>
        <w:pStyle w:val="Heading1"/>
      </w:pPr>
      <w:r>
        <w:t>Среднеквадратичная оценка критичности уязвимостей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Уязвимость</w:t>
            </w:r>
          </w:p>
        </w:tc>
        <w:tc>
          <w:tcPr>
            <w:tcW w:type="dxa" w:w="4320"/>
          </w:tcPr>
          <w:p>
            <w:r>
              <w:t>Среднеквадратичная оценка</w:t>
            </w:r>
          </w:p>
        </w:tc>
      </w:tr>
      <w:tr>
        <w:tc>
          <w:tcPr>
            <w:tcW w:type="dxa" w:w="4320"/>
          </w:tcPr>
          <w:p>
            <w:r>
              <w:t>CVE-2020-10189</w:t>
            </w:r>
          </w:p>
        </w:tc>
        <w:tc>
          <w:tcPr>
            <w:tcW w:type="dxa" w:w="4320"/>
          </w:tcPr>
          <w:p>
            <w:r>
              <w:t>0.96808</w:t>
            </w:r>
          </w:p>
        </w:tc>
      </w:tr>
      <w:tr>
        <w:tc>
          <w:tcPr>
            <w:tcW w:type="dxa" w:w="4320"/>
          </w:tcPr>
          <w:p>
            <w:r>
              <w:t>CVE-2020-10189</w:t>
            </w:r>
          </w:p>
        </w:tc>
        <w:tc>
          <w:tcPr>
            <w:tcW w:type="dxa" w:w="4320"/>
          </w:tcPr>
          <w:p>
            <w:r>
              <w:t>0.94063</w:t>
            </w:r>
          </w:p>
        </w:tc>
      </w:tr>
    </w:tbl>
    <w:p/>
    <w:p>
      <w:pPr>
        <w:pStyle w:val="Heading1"/>
      </w:pPr>
      <w:r>
        <w:t>Вероятность эксплуатации единичной уязвимости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Уязвимость</w:t>
            </w:r>
          </w:p>
        </w:tc>
        <w:tc>
          <w:tcPr>
            <w:tcW w:type="dxa" w:w="4320"/>
          </w:tcPr>
          <w:p>
            <w:r>
              <w:t>Вероятность успеха</w:t>
            </w:r>
          </w:p>
        </w:tc>
      </w:tr>
      <w:tr>
        <w:tc>
          <w:tcPr>
            <w:tcW w:type="dxa" w:w="4320"/>
          </w:tcPr>
          <w:p>
            <w:r>
              <w:t>CVE-2020-10189</w:t>
            </w:r>
          </w:p>
        </w:tc>
        <w:tc>
          <w:tcPr>
            <w:tcW w:type="dxa" w:w="4320"/>
          </w:tcPr>
          <w:p>
            <w:r>
              <w:t>0.50719</w:t>
            </w:r>
          </w:p>
        </w:tc>
      </w:tr>
      <w:tr>
        <w:tc>
          <w:tcPr>
            <w:tcW w:type="dxa" w:w="4320"/>
          </w:tcPr>
          <w:p>
            <w:r>
              <w:t>CVE-2020-10189</w:t>
            </w:r>
          </w:p>
        </w:tc>
        <w:tc>
          <w:tcPr>
            <w:tcW w:type="dxa" w:w="4320"/>
          </w:tcPr>
          <w:p>
            <w:r>
              <w:t>0.49281</w:t>
            </w:r>
          </w:p>
        </w:tc>
      </w:tr>
    </w:tbl>
    <w:p/>
    <w:p>
      <w:pPr>
        <w:pStyle w:val="Heading1"/>
      </w:pPr>
      <w:r>
        <w:t>Расчёт риска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Уязвимость</w:t>
            </w:r>
          </w:p>
        </w:tc>
        <w:tc>
          <w:tcPr>
            <w:tcW w:type="dxa" w:w="2880"/>
          </w:tcPr>
          <w:p>
            <w:r>
              <w:t>Ущерб</w:t>
            </w:r>
          </w:p>
        </w:tc>
        <w:tc>
          <w:tcPr>
            <w:tcW w:type="dxa" w:w="2880"/>
          </w:tcPr>
          <w:p>
            <w:r>
              <w:t>Риск</w:t>
            </w:r>
          </w:p>
        </w:tc>
      </w:tr>
      <w:tr>
        <w:tc>
          <w:tcPr>
            <w:tcW w:type="dxa" w:w="2880"/>
          </w:tcPr>
          <w:p>
            <w:r>
              <w:t>CVE-2020-10189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0.44379</w:t>
            </w:r>
          </w:p>
        </w:tc>
      </w:tr>
      <w:tr>
        <w:tc>
          <w:tcPr>
            <w:tcW w:type="dxa" w:w="2880"/>
          </w:tcPr>
          <w:p>
            <w:r>
              <w:t>CVE-2020-10189</w:t>
            </w:r>
          </w:p>
        </w:tc>
        <w:tc>
          <w:tcPr>
            <w:tcW w:type="dxa" w:w="2880"/>
          </w:tcPr>
          <w:p>
            <w:r>
              <w:t>0.87500</w:t>
            </w:r>
          </w:p>
        </w:tc>
        <w:tc>
          <w:tcPr>
            <w:tcW w:type="dxa" w:w="2880"/>
          </w:tcPr>
          <w:p>
            <w:r>
              <w:t>0.43121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