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B3E1" w14:textId="77777777" w:rsidR="007C3E85" w:rsidRDefault="007C3E85" w:rsidP="007C3E85">
      <w:pPr>
        <w:rPr>
          <w:lang w:val="en-US"/>
        </w:rPr>
      </w:pPr>
    </w:p>
    <w:p w14:paraId="29F2628E" w14:textId="77777777" w:rsidR="007C3E85" w:rsidRDefault="007C3E85" w:rsidP="007C3E85">
      <w:pPr>
        <w:rPr>
          <w:lang w:val="en-US"/>
        </w:rPr>
      </w:pPr>
    </w:p>
    <w:p w14:paraId="52BBB4AF" w14:textId="77777777" w:rsidR="007C3E85" w:rsidRDefault="007C3E85" w:rsidP="007C3E85">
      <w:pPr>
        <w:rPr>
          <w:lang w:val="en-US"/>
        </w:rPr>
      </w:pPr>
    </w:p>
    <w:p w14:paraId="060F78EA" w14:textId="77777777" w:rsidR="007C3E85" w:rsidRDefault="007C3E85" w:rsidP="007C3E85">
      <w:pPr>
        <w:rPr>
          <w:lang w:val="en-US"/>
        </w:rPr>
      </w:pPr>
    </w:p>
    <w:p w14:paraId="1A9E6C99" w14:textId="77777777" w:rsidR="007C3E85" w:rsidRDefault="007C3E85" w:rsidP="007C3E85">
      <w:pPr>
        <w:rPr>
          <w:lang w:val="en-US"/>
        </w:rPr>
      </w:pPr>
    </w:p>
    <w:p w14:paraId="4AB8D6EA" w14:textId="77777777" w:rsidR="007C3E85" w:rsidRDefault="007C3E85" w:rsidP="007C3E85">
      <w:pPr>
        <w:rPr>
          <w:lang w:val="en-US"/>
        </w:rPr>
      </w:pPr>
    </w:p>
    <w:p w14:paraId="3019A4BA" w14:textId="77777777" w:rsidR="007C3E85" w:rsidRDefault="007C3E85" w:rsidP="007C3E85">
      <w:pPr>
        <w:rPr>
          <w:lang w:val="en-US"/>
        </w:rPr>
      </w:pPr>
    </w:p>
    <w:p w14:paraId="62D1459D" w14:textId="77777777" w:rsidR="007C3E85" w:rsidRDefault="007C3E85" w:rsidP="007C3E85">
      <w:pPr>
        <w:rPr>
          <w:lang w:val="en-US"/>
        </w:rPr>
      </w:pPr>
    </w:p>
    <w:p w14:paraId="11689445" w14:textId="77777777" w:rsidR="007C3E85" w:rsidRDefault="007C3E85" w:rsidP="007C3E85"/>
    <w:p w14:paraId="740CD4AF" w14:textId="77777777" w:rsidR="007C3E85" w:rsidRDefault="007C3E85" w:rsidP="007C3E85"/>
    <w:p w14:paraId="2B483191" w14:textId="77777777" w:rsidR="007C3E85" w:rsidRDefault="007C3E85" w:rsidP="007C3E85"/>
    <w:p w14:paraId="0BA2420C" w14:textId="77777777" w:rsidR="007C3E85" w:rsidRPr="006A676E" w:rsidRDefault="007C3E85" w:rsidP="007C3E85"/>
    <w:p w14:paraId="6ACC8CF1" w14:textId="77777777" w:rsidR="007C3E85" w:rsidRDefault="007C3E85" w:rsidP="007C3E85">
      <w:pPr>
        <w:jc w:val="center"/>
        <w:rPr>
          <w:rFonts w:ascii="Times New Roman" w:hAnsi="Times New Roman" w:cs="Times New Roman"/>
          <w:b/>
          <w:bCs/>
          <w:sz w:val="28"/>
          <w:szCs w:val="28"/>
        </w:rPr>
      </w:pPr>
      <w:r>
        <w:rPr>
          <w:rFonts w:ascii="Times New Roman" w:hAnsi="Times New Roman" w:cs="Times New Roman"/>
          <w:b/>
          <w:bCs/>
          <w:sz w:val="28"/>
          <w:szCs w:val="28"/>
        </w:rPr>
        <w:t>План тестирования проекта</w:t>
      </w:r>
    </w:p>
    <w:p w14:paraId="4447D770" w14:textId="77777777" w:rsidR="007C3E85" w:rsidRDefault="007C3E85" w:rsidP="007C3E85">
      <w:pPr>
        <w:jc w:val="center"/>
        <w:rPr>
          <w:rFonts w:ascii="Times New Roman" w:hAnsi="Times New Roman" w:cs="Times New Roman"/>
          <w:b/>
          <w:bCs/>
          <w:sz w:val="28"/>
          <w:szCs w:val="28"/>
        </w:rPr>
      </w:pPr>
      <w:r>
        <w:rPr>
          <w:rFonts w:ascii="Times New Roman" w:hAnsi="Times New Roman" w:cs="Times New Roman"/>
          <w:b/>
          <w:bCs/>
          <w:sz w:val="28"/>
          <w:szCs w:val="28"/>
        </w:rPr>
        <w:t>«ГАИ»</w:t>
      </w:r>
    </w:p>
    <w:p w14:paraId="1320AE18" w14:textId="77777777" w:rsidR="007C3E85" w:rsidRDefault="007C3E85" w:rsidP="007C3E85">
      <w:pPr>
        <w:jc w:val="center"/>
        <w:rPr>
          <w:rFonts w:ascii="Times New Roman" w:hAnsi="Times New Roman" w:cs="Times New Roman"/>
          <w:b/>
          <w:bCs/>
          <w:sz w:val="28"/>
          <w:szCs w:val="28"/>
        </w:rPr>
      </w:pPr>
    </w:p>
    <w:p w14:paraId="67C3905B" w14:textId="77777777" w:rsidR="007C3E85" w:rsidRDefault="007C3E85" w:rsidP="007C3E85">
      <w:pPr>
        <w:jc w:val="center"/>
        <w:rPr>
          <w:rFonts w:ascii="Times New Roman" w:hAnsi="Times New Roman" w:cs="Times New Roman"/>
          <w:b/>
          <w:bCs/>
          <w:sz w:val="28"/>
          <w:szCs w:val="28"/>
        </w:rPr>
      </w:pPr>
    </w:p>
    <w:p w14:paraId="5485D164" w14:textId="77777777" w:rsidR="007C3E85" w:rsidRDefault="007C3E85" w:rsidP="007C3E85">
      <w:pPr>
        <w:jc w:val="center"/>
        <w:rPr>
          <w:rFonts w:ascii="Times New Roman" w:hAnsi="Times New Roman" w:cs="Times New Roman"/>
          <w:b/>
          <w:bCs/>
          <w:sz w:val="28"/>
          <w:szCs w:val="28"/>
        </w:rPr>
      </w:pPr>
    </w:p>
    <w:p w14:paraId="2CBEDD78" w14:textId="77777777" w:rsidR="007C3E85" w:rsidRDefault="007C3E85" w:rsidP="007C3E85">
      <w:pPr>
        <w:jc w:val="center"/>
        <w:rPr>
          <w:rFonts w:ascii="Times New Roman" w:hAnsi="Times New Roman" w:cs="Times New Roman"/>
          <w:b/>
          <w:bCs/>
          <w:sz w:val="28"/>
          <w:szCs w:val="28"/>
        </w:rPr>
      </w:pPr>
    </w:p>
    <w:p w14:paraId="31430CE7" w14:textId="77777777" w:rsidR="007C3E85" w:rsidRDefault="007C3E85" w:rsidP="007C3E85">
      <w:pPr>
        <w:jc w:val="center"/>
        <w:rPr>
          <w:rFonts w:ascii="Times New Roman" w:hAnsi="Times New Roman" w:cs="Times New Roman"/>
          <w:b/>
          <w:bCs/>
          <w:sz w:val="28"/>
          <w:szCs w:val="28"/>
        </w:rPr>
      </w:pPr>
    </w:p>
    <w:p w14:paraId="7452B841" w14:textId="77777777" w:rsidR="007C3E85" w:rsidRDefault="007C3E85" w:rsidP="007C3E85">
      <w:pPr>
        <w:jc w:val="center"/>
        <w:rPr>
          <w:rFonts w:ascii="Times New Roman" w:hAnsi="Times New Roman" w:cs="Times New Roman"/>
          <w:b/>
          <w:bCs/>
          <w:sz w:val="28"/>
          <w:szCs w:val="28"/>
        </w:rPr>
      </w:pPr>
    </w:p>
    <w:p w14:paraId="24739A9D" w14:textId="77777777" w:rsidR="007C3E85" w:rsidRDefault="007C3E85" w:rsidP="007C3E85">
      <w:pPr>
        <w:jc w:val="center"/>
        <w:rPr>
          <w:rFonts w:ascii="Times New Roman" w:hAnsi="Times New Roman" w:cs="Times New Roman"/>
          <w:b/>
          <w:bCs/>
          <w:sz w:val="28"/>
          <w:szCs w:val="28"/>
        </w:rPr>
      </w:pPr>
    </w:p>
    <w:p w14:paraId="01FF3C66" w14:textId="77777777" w:rsidR="007C3E85" w:rsidRDefault="007C3E85" w:rsidP="007C3E85">
      <w:pPr>
        <w:jc w:val="center"/>
        <w:rPr>
          <w:rFonts w:ascii="Times New Roman" w:hAnsi="Times New Roman" w:cs="Times New Roman"/>
          <w:b/>
          <w:bCs/>
          <w:sz w:val="28"/>
          <w:szCs w:val="28"/>
        </w:rPr>
      </w:pPr>
    </w:p>
    <w:p w14:paraId="37BCD3D8" w14:textId="77777777" w:rsidR="007C3E85" w:rsidRDefault="007C3E85" w:rsidP="007C3E85">
      <w:pPr>
        <w:jc w:val="center"/>
        <w:rPr>
          <w:rFonts w:ascii="Times New Roman" w:hAnsi="Times New Roman" w:cs="Times New Roman"/>
          <w:b/>
          <w:bCs/>
          <w:sz w:val="28"/>
          <w:szCs w:val="28"/>
        </w:rPr>
      </w:pPr>
    </w:p>
    <w:p w14:paraId="6217E78D" w14:textId="77777777" w:rsidR="007C3E85" w:rsidRDefault="007C3E85" w:rsidP="007C3E85">
      <w:pPr>
        <w:jc w:val="center"/>
        <w:rPr>
          <w:rFonts w:ascii="Times New Roman" w:hAnsi="Times New Roman" w:cs="Times New Roman"/>
          <w:b/>
          <w:bCs/>
          <w:sz w:val="28"/>
          <w:szCs w:val="28"/>
        </w:rPr>
      </w:pPr>
    </w:p>
    <w:p w14:paraId="4A1AF426" w14:textId="77777777" w:rsidR="007C3E85" w:rsidRDefault="007C3E85" w:rsidP="007C3E85">
      <w:pPr>
        <w:jc w:val="center"/>
        <w:rPr>
          <w:rFonts w:ascii="Times New Roman" w:hAnsi="Times New Roman" w:cs="Times New Roman"/>
          <w:b/>
          <w:bCs/>
          <w:sz w:val="28"/>
          <w:szCs w:val="28"/>
        </w:rPr>
      </w:pPr>
    </w:p>
    <w:p w14:paraId="07152D2D" w14:textId="77777777" w:rsidR="007C3E85" w:rsidRDefault="007C3E85" w:rsidP="007C3E85">
      <w:pPr>
        <w:jc w:val="center"/>
        <w:rPr>
          <w:rFonts w:ascii="Times New Roman" w:hAnsi="Times New Roman" w:cs="Times New Roman"/>
          <w:b/>
          <w:bCs/>
          <w:sz w:val="28"/>
          <w:szCs w:val="28"/>
        </w:rPr>
      </w:pPr>
    </w:p>
    <w:p w14:paraId="49DE913B" w14:textId="4FB4D9CB" w:rsidR="0064755C" w:rsidRDefault="0064755C"/>
    <w:p w14:paraId="681413B1" w14:textId="2A29E82B" w:rsidR="00616712" w:rsidRPr="00616712" w:rsidRDefault="00616712" w:rsidP="00616712">
      <w:pPr>
        <w:jc w:val="right"/>
        <w:rPr>
          <w:rFonts w:ascii="Times New Roman" w:hAnsi="Times New Roman" w:cs="Times New Roman"/>
          <w:sz w:val="28"/>
          <w:szCs w:val="28"/>
        </w:rPr>
      </w:pPr>
      <w:r w:rsidRPr="00616712">
        <w:rPr>
          <w:rFonts w:ascii="Times New Roman" w:hAnsi="Times New Roman" w:cs="Times New Roman"/>
          <w:sz w:val="28"/>
          <w:szCs w:val="28"/>
        </w:rPr>
        <w:t>Гафиятуллин Б.Ф.</w:t>
      </w:r>
    </w:p>
    <w:p w14:paraId="07DA1CB6" w14:textId="57972AC3" w:rsidR="00616712" w:rsidRPr="00616712" w:rsidRDefault="00616712" w:rsidP="00616712">
      <w:pPr>
        <w:jc w:val="right"/>
        <w:rPr>
          <w:rFonts w:ascii="Times New Roman" w:hAnsi="Times New Roman" w:cs="Times New Roman"/>
          <w:sz w:val="28"/>
          <w:szCs w:val="28"/>
        </w:rPr>
      </w:pPr>
      <w:r w:rsidRPr="00616712">
        <w:rPr>
          <w:rFonts w:ascii="Times New Roman" w:hAnsi="Times New Roman" w:cs="Times New Roman"/>
          <w:sz w:val="28"/>
          <w:szCs w:val="28"/>
        </w:rPr>
        <w:t>Курбанов А.Р.</w:t>
      </w:r>
    </w:p>
    <w:p w14:paraId="7B62F735" w14:textId="77777777" w:rsidR="00616712" w:rsidRDefault="00616712"/>
    <w:p w14:paraId="7BCB5BC3" w14:textId="69BB362F" w:rsidR="001A1549" w:rsidRPr="001A1549" w:rsidRDefault="001A1549">
      <w:pPr>
        <w:rPr>
          <w:rFonts w:ascii="Times New Roman" w:hAnsi="Times New Roman" w:cs="Times New Roman"/>
          <w:sz w:val="28"/>
          <w:szCs w:val="28"/>
        </w:rPr>
      </w:pPr>
      <w:r w:rsidRPr="001A1549">
        <w:rPr>
          <w:rFonts w:ascii="Times New Roman" w:hAnsi="Times New Roman" w:cs="Times New Roman"/>
          <w:sz w:val="28"/>
          <w:szCs w:val="28"/>
        </w:rPr>
        <w:lastRenderedPageBreak/>
        <w:t xml:space="preserve">Таблица 1 </w:t>
      </w:r>
      <w:r>
        <w:rPr>
          <w:rFonts w:ascii="Times New Roman" w:hAnsi="Times New Roman" w:cs="Times New Roman"/>
          <w:sz w:val="28"/>
          <w:szCs w:val="28"/>
        </w:rPr>
        <w:t>–</w:t>
      </w:r>
      <w:r w:rsidRPr="001A1549">
        <w:rPr>
          <w:rFonts w:ascii="Times New Roman" w:hAnsi="Times New Roman" w:cs="Times New Roman"/>
          <w:sz w:val="28"/>
          <w:szCs w:val="28"/>
        </w:rPr>
        <w:t xml:space="preserve"> </w:t>
      </w:r>
      <w:r w:rsidRPr="001A1549">
        <w:rPr>
          <w:rFonts w:ascii="Times New Roman" w:eastAsia="Times New Roman" w:hAnsi="Times New Roman" w:cs="Times New Roman"/>
          <w:sz w:val="28"/>
          <w:szCs w:val="28"/>
          <w:lang w:eastAsia="ru-RU"/>
        </w:rPr>
        <w:t>Организационная стратегия тестирования</w:t>
      </w:r>
    </w:p>
    <w:tbl>
      <w:tblPr>
        <w:tblStyle w:val="ae"/>
        <w:tblW w:w="0" w:type="auto"/>
        <w:tblLook w:val="04A0" w:firstRow="1" w:lastRow="0" w:firstColumn="1" w:lastColumn="0" w:noHBand="0" w:noVBand="1"/>
      </w:tblPr>
      <w:tblGrid>
        <w:gridCol w:w="4672"/>
        <w:gridCol w:w="4673"/>
      </w:tblGrid>
      <w:tr w:rsidR="007C3E85" w:rsidRPr="001A1549" w14:paraId="4BC66C20" w14:textId="77777777" w:rsidTr="006E7BC1">
        <w:tc>
          <w:tcPr>
            <w:tcW w:w="4672" w:type="dxa"/>
          </w:tcPr>
          <w:p w14:paraId="22E75E8B" w14:textId="77777777" w:rsidR="007C3E85" w:rsidRPr="001A1549" w:rsidRDefault="007C3E85" w:rsidP="006E7BC1">
            <w:pPr>
              <w:tabs>
                <w:tab w:val="left" w:pos="1485"/>
              </w:tabs>
              <w:spacing w:line="360" w:lineRule="auto"/>
              <w:jc w:val="center"/>
              <w:rPr>
                <w:rFonts w:ascii="Times New Roman" w:eastAsia="Times New Roman" w:hAnsi="Times New Roman" w:cs="Times New Roman"/>
                <w:sz w:val="24"/>
                <w:szCs w:val="24"/>
                <w:lang w:eastAsia="ru-RU"/>
              </w:rPr>
            </w:pPr>
            <w:r w:rsidRPr="001A1549">
              <w:rPr>
                <w:rFonts w:ascii="Times New Roman" w:eastAsia="Times New Roman" w:hAnsi="Times New Roman" w:cs="Times New Roman"/>
                <w:sz w:val="24"/>
                <w:szCs w:val="24"/>
                <w:lang w:eastAsia="ru-RU"/>
              </w:rPr>
              <w:t>Проблема</w:t>
            </w:r>
          </w:p>
        </w:tc>
        <w:tc>
          <w:tcPr>
            <w:tcW w:w="4673" w:type="dxa"/>
          </w:tcPr>
          <w:p w14:paraId="2122B6AA" w14:textId="77777777" w:rsidR="007C3E85" w:rsidRPr="001A1549" w:rsidRDefault="007C3E85" w:rsidP="006E7BC1">
            <w:pPr>
              <w:tabs>
                <w:tab w:val="left" w:pos="1485"/>
              </w:tabs>
              <w:spacing w:line="360" w:lineRule="auto"/>
              <w:jc w:val="center"/>
              <w:rPr>
                <w:rFonts w:ascii="Times New Roman" w:eastAsia="Times New Roman" w:hAnsi="Times New Roman" w:cs="Times New Roman"/>
                <w:sz w:val="24"/>
                <w:szCs w:val="24"/>
                <w:lang w:eastAsia="ru-RU"/>
              </w:rPr>
            </w:pPr>
            <w:r w:rsidRPr="001A1549">
              <w:rPr>
                <w:rFonts w:ascii="Times New Roman" w:eastAsia="Times New Roman" w:hAnsi="Times New Roman" w:cs="Times New Roman"/>
                <w:sz w:val="24"/>
                <w:szCs w:val="24"/>
                <w:lang w:eastAsia="ru-RU"/>
              </w:rPr>
              <w:t>Стратегия</w:t>
            </w:r>
          </w:p>
        </w:tc>
      </w:tr>
      <w:tr w:rsidR="007C3E85" w:rsidRPr="001A1549" w14:paraId="36251CCA" w14:textId="77777777" w:rsidTr="006E7BC1">
        <w:tc>
          <w:tcPr>
            <w:tcW w:w="4672" w:type="dxa"/>
          </w:tcPr>
          <w:p w14:paraId="162EF5B3"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Общий менеджмент рисков</w:t>
            </w:r>
          </w:p>
        </w:tc>
        <w:tc>
          <w:tcPr>
            <w:tcW w:w="4673" w:type="dxa"/>
          </w:tcPr>
          <w:p w14:paraId="229480FD"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 xml:space="preserve">Менеджмент рисков в проекте должен опираться на общий реестр рисков для проекта конкретного типа и процесс общего менеджмента рисков. Реестры рисков размещены в XX. </w:t>
            </w:r>
          </w:p>
        </w:tc>
      </w:tr>
      <w:tr w:rsidR="007C3E85" w:rsidRPr="001A1549" w14:paraId="2612A4EA" w14:textId="77777777" w:rsidTr="006E7BC1">
        <w:tc>
          <w:tcPr>
            <w:tcW w:w="4672" w:type="dxa"/>
          </w:tcPr>
          <w:p w14:paraId="48CE31AC"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Выбор тестирования и приоритетов</w:t>
            </w:r>
          </w:p>
        </w:tc>
        <w:tc>
          <w:tcPr>
            <w:tcW w:w="4673" w:type="dxa"/>
          </w:tcPr>
          <w:p w14:paraId="2954677B"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Для контрольных примеров и процедур тестирования должны быть выбраны приоритеты, соответствующие риску, связанному с требованиями, покрывающими примеры. Если в процедуру тестирования входят контрольные примеры с различными уровнями рисков, контрольный пример с высшим уровнем определяет уровень риска для всей процедуры. Выполнение процедур тестирования всегда должно планироваться соответственно риску таким образом, чтобы чем выше был риск, тем раньше выполнялась процедура. Необходимо, чтобы каждый набор функций покрывался каким-либо тестированием.</w:t>
            </w:r>
          </w:p>
        </w:tc>
      </w:tr>
      <w:tr w:rsidR="007C3E85" w:rsidRPr="001A1549" w14:paraId="6D1C55AD" w14:textId="77777777" w:rsidTr="006E7BC1">
        <w:tc>
          <w:tcPr>
            <w:tcW w:w="4672" w:type="dxa"/>
          </w:tcPr>
          <w:p w14:paraId="344D6692"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Документация тестирования и создание отчетов</w:t>
            </w:r>
          </w:p>
        </w:tc>
        <w:tc>
          <w:tcPr>
            <w:tcW w:w="4673" w:type="dxa"/>
          </w:tcPr>
          <w:p w14:paraId="1864C668"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Тестовые проекты должны быть документированы таким образом, чтобы аудит мог установить, что было запланировано и что было выполнено. Важна трассировка между артефактами. На уровне проекта тестирования должны быть разработаны План Тестирования проекта и Отчет о Завершении Тестирования проекта, как это определено в ИСО/МЭК/ИИЭР 29119-3</w:t>
            </w:r>
          </w:p>
        </w:tc>
      </w:tr>
    </w:tbl>
    <w:p w14:paraId="41EE762A" w14:textId="31561845" w:rsidR="001A1549" w:rsidRDefault="001A1549"/>
    <w:p w14:paraId="4EEDE708" w14:textId="77777777" w:rsidR="001A1549" w:rsidRDefault="001A1549">
      <w:r>
        <w:br w:type="page"/>
      </w:r>
    </w:p>
    <w:p w14:paraId="216EC3B1" w14:textId="37A37470" w:rsidR="001A1549" w:rsidRPr="001A1549" w:rsidRDefault="001A1549">
      <w:pPr>
        <w:rPr>
          <w:rFonts w:ascii="Times New Roman" w:hAnsi="Times New Roman" w:cs="Times New Roman"/>
          <w:sz w:val="28"/>
          <w:szCs w:val="28"/>
        </w:rPr>
      </w:pPr>
      <w:r>
        <w:rPr>
          <w:rFonts w:ascii="Times New Roman" w:hAnsi="Times New Roman" w:cs="Times New Roman"/>
          <w:sz w:val="28"/>
          <w:szCs w:val="28"/>
        </w:rPr>
        <w:lastRenderedPageBreak/>
        <w:t xml:space="preserve">Продолжение </w:t>
      </w:r>
      <w:r w:rsidRPr="001A1549">
        <w:rPr>
          <w:rFonts w:ascii="Times New Roman" w:hAnsi="Times New Roman" w:cs="Times New Roman"/>
          <w:sz w:val="28"/>
          <w:szCs w:val="28"/>
        </w:rPr>
        <w:t>Таблица 1</w:t>
      </w:r>
    </w:p>
    <w:tbl>
      <w:tblPr>
        <w:tblStyle w:val="ae"/>
        <w:tblW w:w="9657" w:type="dxa"/>
        <w:tblLook w:val="04A0" w:firstRow="1" w:lastRow="0" w:firstColumn="1" w:lastColumn="0" w:noHBand="0" w:noVBand="1"/>
      </w:tblPr>
      <w:tblGrid>
        <w:gridCol w:w="4828"/>
        <w:gridCol w:w="4829"/>
      </w:tblGrid>
      <w:tr w:rsidR="007C3E85" w:rsidRPr="001A1549" w14:paraId="61531249" w14:textId="77777777" w:rsidTr="003B33ED">
        <w:trPr>
          <w:trHeight w:val="2528"/>
        </w:trPr>
        <w:tc>
          <w:tcPr>
            <w:tcW w:w="4828" w:type="dxa"/>
          </w:tcPr>
          <w:p w14:paraId="730FBC24"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Автоматизация и инструменты тестирования</w:t>
            </w:r>
          </w:p>
        </w:tc>
        <w:tc>
          <w:tcPr>
            <w:tcW w:w="4829" w:type="dxa"/>
          </w:tcPr>
          <w:p w14:paraId="3DB1994E"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Во всех проектах и для всех подпроцессов тестирования должен использоваться инструмент управления тестированием. В случаях, когда планируется больше четырех регрессионных тестов, в проекте можно рассмотреть возможность использования инструмента тестирования сбора/воспроизведения</w:t>
            </w:r>
          </w:p>
        </w:tc>
      </w:tr>
      <w:tr w:rsidR="007C3E85" w:rsidRPr="001A1549" w14:paraId="30DCD25F" w14:textId="77777777" w:rsidTr="003B33ED">
        <w:trPr>
          <w:trHeight w:val="3151"/>
        </w:trPr>
        <w:tc>
          <w:tcPr>
            <w:tcW w:w="4828" w:type="dxa"/>
          </w:tcPr>
          <w:p w14:paraId="4AF16943"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Подпроцессы тестирования</w:t>
            </w:r>
          </w:p>
        </w:tc>
        <w:tc>
          <w:tcPr>
            <w:tcW w:w="4829" w:type="dxa"/>
          </w:tcPr>
          <w:p w14:paraId="2A601B03"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 xml:space="preserve">Каждый проект тестирования должен включать следующие подпроцессы тестирования: </w:t>
            </w:r>
          </w:p>
          <w:p w14:paraId="43F91C9A"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 xml:space="preserve">- тест производительности, если применимо в соответствии с требованиями; </w:t>
            </w:r>
          </w:p>
          <w:p w14:paraId="46CB29F8"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 xml:space="preserve">- тестирование управляемости; </w:t>
            </w:r>
          </w:p>
          <w:p w14:paraId="7B15E9C1"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 xml:space="preserve">- покомпонентное тестирование; </w:t>
            </w:r>
          </w:p>
          <w:p w14:paraId="12B58914"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 xml:space="preserve">- тестирование интеграции компонентов, предпочтительно снизу доверху; </w:t>
            </w:r>
          </w:p>
          <w:p w14:paraId="59587066"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 тестирование системы</w:t>
            </w:r>
          </w:p>
        </w:tc>
      </w:tr>
      <w:tr w:rsidR="007C3E85" w:rsidRPr="001A1549" w14:paraId="46E910A7" w14:textId="77777777" w:rsidTr="003B33ED">
        <w:trPr>
          <w:trHeight w:val="2204"/>
        </w:trPr>
        <w:tc>
          <w:tcPr>
            <w:tcW w:w="4828" w:type="dxa"/>
          </w:tcPr>
          <w:p w14:paraId="227F4DC5"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Критерии входа и выхода</w:t>
            </w:r>
          </w:p>
        </w:tc>
        <w:tc>
          <w:tcPr>
            <w:tcW w:w="4829" w:type="dxa"/>
          </w:tcPr>
          <w:p w14:paraId="08D74E72" w14:textId="77777777" w:rsidR="007C3E85" w:rsidRPr="001A1549" w:rsidRDefault="007C3E85" w:rsidP="006E7BC1">
            <w:pPr>
              <w:tabs>
                <w:tab w:val="left" w:pos="1485"/>
              </w:tabs>
              <w:spacing w:line="276" w:lineRule="auto"/>
              <w:jc w:val="both"/>
              <w:rPr>
                <w:rFonts w:ascii="Times New Roman" w:eastAsia="Times New Roman" w:hAnsi="Times New Roman" w:cs="Times New Roman"/>
                <w:sz w:val="24"/>
                <w:szCs w:val="24"/>
                <w:lang w:eastAsia="ru-RU"/>
              </w:rPr>
            </w:pPr>
            <w:r w:rsidRPr="001A1549">
              <w:rPr>
                <w:rFonts w:ascii="Times New Roman" w:hAnsi="Times New Roman" w:cs="Times New Roman"/>
                <w:sz w:val="24"/>
                <w:szCs w:val="24"/>
              </w:rPr>
              <w:t>Перед началом тестирования системы должны быть утверждены Отчет о завершении интеграционного теста и спецификация тестирования системы. Все практические результаты тестирования системы должны быть утверждены перед завершением тестирования системы</w:t>
            </w:r>
          </w:p>
        </w:tc>
      </w:tr>
      <w:tr w:rsidR="007C3E85" w:rsidRPr="001A1549" w14:paraId="0C256F9B" w14:textId="77777777" w:rsidTr="003B33ED">
        <w:trPr>
          <w:trHeight w:val="1258"/>
        </w:trPr>
        <w:tc>
          <w:tcPr>
            <w:tcW w:w="4828" w:type="dxa"/>
          </w:tcPr>
          <w:p w14:paraId="7630BB12"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Критерии завершения тестирования</w:t>
            </w:r>
          </w:p>
        </w:tc>
        <w:tc>
          <w:tcPr>
            <w:tcW w:w="4829" w:type="dxa"/>
          </w:tcPr>
          <w:p w14:paraId="46858AAA"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Тестирование системы должно достичь 100 % покрытия требований, и все процедуры тестирования должны быть выполнены без инцидентов</w:t>
            </w:r>
          </w:p>
        </w:tc>
      </w:tr>
      <w:tr w:rsidR="007C3E85" w:rsidRPr="001A1549" w14:paraId="6809FF5D" w14:textId="77777777" w:rsidTr="003B33ED">
        <w:trPr>
          <w:trHeight w:val="1892"/>
        </w:trPr>
        <w:tc>
          <w:tcPr>
            <w:tcW w:w="4828" w:type="dxa"/>
          </w:tcPr>
          <w:p w14:paraId="13374A9A"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Документация тестирования</w:t>
            </w:r>
          </w:p>
        </w:tc>
        <w:tc>
          <w:tcPr>
            <w:tcW w:w="4829" w:type="dxa"/>
          </w:tcPr>
          <w:p w14:paraId="4B35BFC0"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План Тестирования системы, Отчет о Завершении Тестирования системы и все документы, определенные для динамического тестирования, должны быть созданы в соответствии с настоящим стандартом</w:t>
            </w:r>
          </w:p>
        </w:tc>
      </w:tr>
      <w:tr w:rsidR="007C3E85" w:rsidRPr="001A1549" w14:paraId="5908C7D4" w14:textId="77777777" w:rsidTr="003B33ED">
        <w:trPr>
          <w:trHeight w:val="2839"/>
        </w:trPr>
        <w:tc>
          <w:tcPr>
            <w:tcW w:w="4828" w:type="dxa"/>
          </w:tcPr>
          <w:p w14:paraId="62969216"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Повторное тестирование и регрессионное тестирование</w:t>
            </w:r>
          </w:p>
        </w:tc>
        <w:tc>
          <w:tcPr>
            <w:tcW w:w="4829" w:type="dxa"/>
          </w:tcPr>
          <w:p w14:paraId="456F4722" w14:textId="77777777" w:rsidR="007C3E85" w:rsidRPr="001A1549" w:rsidRDefault="007C3E85" w:rsidP="006E7BC1">
            <w:pPr>
              <w:tabs>
                <w:tab w:val="left" w:pos="1485"/>
              </w:tabs>
              <w:spacing w:line="276" w:lineRule="auto"/>
              <w:jc w:val="both"/>
              <w:rPr>
                <w:rFonts w:ascii="Times New Roman" w:hAnsi="Times New Roman" w:cs="Times New Roman"/>
                <w:sz w:val="24"/>
                <w:szCs w:val="24"/>
              </w:rPr>
            </w:pPr>
            <w:r w:rsidRPr="001A1549">
              <w:rPr>
                <w:rFonts w:ascii="Times New Roman" w:hAnsi="Times New Roman" w:cs="Times New Roman"/>
                <w:sz w:val="24"/>
                <w:szCs w:val="24"/>
              </w:rPr>
              <w:t>Все процедуры тестирования, приводящие к инциденту, должны быть повторно выполнены после коррекции дефектов. Регрессионное тестирование в ходе подпроцесса тестирования системы производится по усмотрению менеджера по тестированию. В заключительном тестировании системы должны быть выполнены все процедуры тестирования</w:t>
            </w:r>
          </w:p>
        </w:tc>
      </w:tr>
    </w:tbl>
    <w:p w14:paraId="3454F5D9" w14:textId="77777777" w:rsidR="007C3E85" w:rsidRDefault="007C3E85" w:rsidP="003B33ED"/>
    <w:sectPr w:rsidR="007C3E8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E85"/>
    <w:rsid w:val="00185A07"/>
    <w:rsid w:val="001A1549"/>
    <w:rsid w:val="003B33ED"/>
    <w:rsid w:val="00616712"/>
    <w:rsid w:val="0064755C"/>
    <w:rsid w:val="007C3E85"/>
    <w:rsid w:val="00B1295C"/>
    <w:rsid w:val="00D32A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971FB"/>
  <w15:chartTrackingRefBased/>
  <w15:docId w15:val="{B04CAC87-49CD-49D7-8B4C-FCCF80BC7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3E85"/>
  </w:style>
  <w:style w:type="paragraph" w:styleId="1">
    <w:name w:val="heading 1"/>
    <w:basedOn w:val="a"/>
    <w:next w:val="a"/>
    <w:link w:val="10"/>
    <w:uiPriority w:val="9"/>
    <w:qFormat/>
    <w:rsid w:val="00185A07"/>
    <w:pPr>
      <w:keepNext/>
      <w:keepLines/>
      <w:spacing w:before="360" w:after="80" w:line="256" w:lineRule="auto"/>
      <w:jc w:val="both"/>
      <w:outlineLvl w:val="0"/>
    </w:pPr>
    <w:rPr>
      <w:rFonts w:ascii="Times New Roman" w:eastAsiaTheme="majorEastAsia" w:hAnsi="Times New Roman" w:cstheme="majorBidi"/>
      <w:b/>
      <w:sz w:val="28"/>
      <w:szCs w:val="40"/>
      <w14:ligatures w14:val="standardContextual"/>
    </w:rPr>
  </w:style>
  <w:style w:type="paragraph" w:styleId="2">
    <w:name w:val="heading 2"/>
    <w:basedOn w:val="a"/>
    <w:next w:val="a"/>
    <w:link w:val="20"/>
    <w:uiPriority w:val="9"/>
    <w:semiHidden/>
    <w:unhideWhenUsed/>
    <w:qFormat/>
    <w:rsid w:val="007C3E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C3E85"/>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7C3E8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7C3E8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7C3E8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7C3E8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C3E8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7C3E8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Лабы"/>
    <w:basedOn w:val="a"/>
    <w:link w:val="a4"/>
    <w:qFormat/>
    <w:rsid w:val="00185A07"/>
    <w:pPr>
      <w:spacing w:line="256" w:lineRule="auto"/>
      <w:jc w:val="both"/>
    </w:pPr>
    <w:rPr>
      <w:rFonts w:ascii="Times New Roman" w:hAnsi="Times New Roman"/>
      <w:sz w:val="28"/>
      <w14:ligatures w14:val="standardContextual"/>
    </w:rPr>
  </w:style>
  <w:style w:type="character" w:customStyle="1" w:styleId="a4">
    <w:name w:val="Лабы Знак"/>
    <w:basedOn w:val="a0"/>
    <w:link w:val="a3"/>
    <w:rsid w:val="00185A07"/>
    <w:rPr>
      <w:rFonts w:ascii="Times New Roman" w:hAnsi="Times New Roman"/>
      <w:sz w:val="28"/>
      <w14:ligatures w14:val="standardContextual"/>
    </w:rPr>
  </w:style>
  <w:style w:type="character" w:customStyle="1" w:styleId="10">
    <w:name w:val="Заголовок 1 Знак"/>
    <w:basedOn w:val="a0"/>
    <w:link w:val="1"/>
    <w:uiPriority w:val="9"/>
    <w:rsid w:val="00185A07"/>
    <w:rPr>
      <w:rFonts w:ascii="Times New Roman" w:eastAsiaTheme="majorEastAsia" w:hAnsi="Times New Roman" w:cstheme="majorBidi"/>
      <w:b/>
      <w:sz w:val="28"/>
      <w:szCs w:val="40"/>
      <w14:ligatures w14:val="standardContextual"/>
    </w:rPr>
  </w:style>
  <w:style w:type="character" w:customStyle="1" w:styleId="20">
    <w:name w:val="Заголовок 2 Знак"/>
    <w:basedOn w:val="a0"/>
    <w:link w:val="2"/>
    <w:uiPriority w:val="9"/>
    <w:semiHidden/>
    <w:rsid w:val="007C3E8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7C3E8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7C3E8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7C3E8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7C3E8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7C3E85"/>
    <w:rPr>
      <w:rFonts w:eastAsiaTheme="majorEastAsia" w:cstheme="majorBidi"/>
      <w:color w:val="595959" w:themeColor="text1" w:themeTint="A6"/>
    </w:rPr>
  </w:style>
  <w:style w:type="character" w:customStyle="1" w:styleId="80">
    <w:name w:val="Заголовок 8 Знак"/>
    <w:basedOn w:val="a0"/>
    <w:link w:val="8"/>
    <w:uiPriority w:val="9"/>
    <w:semiHidden/>
    <w:rsid w:val="007C3E8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7C3E85"/>
    <w:rPr>
      <w:rFonts w:eastAsiaTheme="majorEastAsia" w:cstheme="majorBidi"/>
      <w:color w:val="272727" w:themeColor="text1" w:themeTint="D8"/>
    </w:rPr>
  </w:style>
  <w:style w:type="paragraph" w:styleId="a5">
    <w:name w:val="Title"/>
    <w:basedOn w:val="a"/>
    <w:next w:val="a"/>
    <w:link w:val="a6"/>
    <w:uiPriority w:val="10"/>
    <w:qFormat/>
    <w:rsid w:val="007C3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C3E85"/>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7C3E85"/>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7C3E8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7C3E85"/>
    <w:pPr>
      <w:spacing w:before="160"/>
      <w:jc w:val="center"/>
    </w:pPr>
    <w:rPr>
      <w:i/>
      <w:iCs/>
      <w:color w:val="404040" w:themeColor="text1" w:themeTint="BF"/>
    </w:rPr>
  </w:style>
  <w:style w:type="character" w:customStyle="1" w:styleId="22">
    <w:name w:val="Цитата 2 Знак"/>
    <w:basedOn w:val="a0"/>
    <w:link w:val="21"/>
    <w:uiPriority w:val="29"/>
    <w:rsid w:val="007C3E85"/>
    <w:rPr>
      <w:i/>
      <w:iCs/>
      <w:color w:val="404040" w:themeColor="text1" w:themeTint="BF"/>
    </w:rPr>
  </w:style>
  <w:style w:type="paragraph" w:styleId="a9">
    <w:name w:val="List Paragraph"/>
    <w:basedOn w:val="a"/>
    <w:uiPriority w:val="34"/>
    <w:qFormat/>
    <w:rsid w:val="007C3E85"/>
    <w:pPr>
      <w:ind w:left="720"/>
      <w:contextualSpacing/>
    </w:pPr>
  </w:style>
  <w:style w:type="character" w:styleId="aa">
    <w:name w:val="Intense Emphasis"/>
    <w:basedOn w:val="a0"/>
    <w:uiPriority w:val="21"/>
    <w:qFormat/>
    <w:rsid w:val="007C3E85"/>
    <w:rPr>
      <w:i/>
      <w:iCs/>
      <w:color w:val="2F5496" w:themeColor="accent1" w:themeShade="BF"/>
    </w:rPr>
  </w:style>
  <w:style w:type="paragraph" w:styleId="ab">
    <w:name w:val="Intense Quote"/>
    <w:basedOn w:val="a"/>
    <w:next w:val="a"/>
    <w:link w:val="ac"/>
    <w:uiPriority w:val="30"/>
    <w:qFormat/>
    <w:rsid w:val="007C3E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Выделенная цитата Знак"/>
    <w:basedOn w:val="a0"/>
    <w:link w:val="ab"/>
    <w:uiPriority w:val="30"/>
    <w:rsid w:val="007C3E85"/>
    <w:rPr>
      <w:i/>
      <w:iCs/>
      <w:color w:val="2F5496" w:themeColor="accent1" w:themeShade="BF"/>
    </w:rPr>
  </w:style>
  <w:style w:type="character" w:styleId="ad">
    <w:name w:val="Intense Reference"/>
    <w:basedOn w:val="a0"/>
    <w:uiPriority w:val="32"/>
    <w:qFormat/>
    <w:rsid w:val="007C3E85"/>
    <w:rPr>
      <w:b/>
      <w:bCs/>
      <w:smallCaps/>
      <w:color w:val="2F5496" w:themeColor="accent1" w:themeShade="BF"/>
      <w:spacing w:val="5"/>
    </w:rPr>
  </w:style>
  <w:style w:type="table" w:styleId="ae">
    <w:name w:val="Table Grid"/>
    <w:basedOn w:val="a1"/>
    <w:uiPriority w:val="39"/>
    <w:rsid w:val="007C3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451</Words>
  <Characters>2573</Characters>
  <Application>Microsoft Office Word</Application>
  <DocSecurity>0</DocSecurity>
  <Lines>21</Lines>
  <Paragraphs>6</Paragraphs>
  <ScaleCrop>false</ScaleCrop>
  <Company>Microsoft Corporation</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Булат Гафиятуллин</dc:creator>
  <cp:keywords/>
  <dc:description/>
  <cp:lastModifiedBy>Булат Гафиятуллин</cp:lastModifiedBy>
  <cp:revision>4</cp:revision>
  <dcterms:created xsi:type="dcterms:W3CDTF">2024-12-01T18:26:00Z</dcterms:created>
  <dcterms:modified xsi:type="dcterms:W3CDTF">2024-12-01T18:30:00Z</dcterms:modified>
</cp:coreProperties>
</file>