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«Читальня»</w:t>
      </w:r>
      <w:r>
        <w:t xml:space="preserve"> </w:t>
      </w:r>
      <w:r>
        <w:t xml:space="preserve">—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онлайн-бронирования</w:t>
      </w:r>
      <w:r>
        <w:t xml:space="preserve"> </w:t>
      </w:r>
      <w:r>
        <w:t xml:space="preserve">книг</w:t>
      </w:r>
      <w:r>
        <w:t xml:space="preserve"> </w:t>
      </w:r>
      <w:r>
        <w:t xml:space="preserve">в</w:t>
      </w:r>
      <w:r>
        <w:t xml:space="preserve"> </w:t>
      </w:r>
      <w:r>
        <w:t xml:space="preserve">библиотеке</w:t>
      </w:r>
    </w:p>
    <w:p>
      <w:pPr>
        <w:pStyle w:val="Subtitle"/>
      </w:pPr>
      <w:r>
        <w:t xml:space="preserve">Описание</w:t>
      </w:r>
      <w:r>
        <w:t xml:space="preserve"> </w:t>
      </w:r>
      <w:r>
        <w:t xml:space="preserve">проекта</w:t>
      </w:r>
    </w:p>
    <w:bookmarkStart w:id="20" w:name="назначение-и-проблема"/>
    <w:p>
      <w:pPr>
        <w:pStyle w:val="Heading1"/>
      </w:pPr>
      <w:r>
        <w:t xml:space="preserve">1. Назначение и проблема</w:t>
      </w:r>
    </w:p>
    <w:p>
      <w:pPr>
        <w:pStyle w:val="FirstParagraph"/>
      </w:pPr>
      <w:r>
        <w:t xml:space="preserve">В небольших библиотеках (районных, школьных, университетских) читатель часто не знает, есть ли нужная книга на полке, пока не придёт лично. Библиотекарь, в свою очередь, ведёт учёт выдачи вручную или в таблицах, из-за чего теряются сведения о том, кто и когда взял экземпляр.</w:t>
      </w:r>
    </w:p>
    <w:p>
      <w:pPr>
        <w:pStyle w:val="BodyText"/>
      </w:pPr>
      <w:r>
        <w:rPr>
          <w:bCs/>
          <w:b/>
        </w:rPr>
        <w:t xml:space="preserve">«Читальня»</w:t>
      </w:r>
      <w:r>
        <w:t xml:space="preserve"> </w:t>
      </w:r>
      <w:r>
        <w:t xml:space="preserve">— веб-приложение, которое решает обе задачи:</w:t>
      </w:r>
    </w:p>
    <w:p>
      <w:pPr>
        <w:numPr>
          <w:ilvl w:val="0"/>
          <w:numId w:val="1001"/>
        </w:numPr>
        <w:pStyle w:val="Compact"/>
      </w:pPr>
      <w:r>
        <w:t xml:space="preserve">читатель видит каталог с актуальным количеством свободных экземпляров и может заранее забронировать книгу на удобный срок;</w:t>
      </w:r>
    </w:p>
    <w:p>
      <w:pPr>
        <w:numPr>
          <w:ilvl w:val="0"/>
          <w:numId w:val="1001"/>
        </w:numPr>
        <w:pStyle w:val="Compact"/>
      </w:pPr>
      <w:r>
        <w:t xml:space="preserve">библиотекарь ведёт каталог, видит все брони и отмечает выдачу и возврат книг в одном месте.</w:t>
      </w:r>
    </w:p>
    <w:bookmarkEnd w:id="20"/>
    <w:bookmarkStart w:id="21" w:name="роли-пользователей"/>
    <w:p>
      <w:pPr>
        <w:pStyle w:val="Heading1"/>
      </w:pPr>
      <w:r>
        <w:t xml:space="preserve">2. Роли пользователей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Кто это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Что может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Незарегистрированный посетитель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Зарегистрироваться и войти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Читатель (</w:t>
            </w:r>
            <w:r>
              <w:rPr>
                <w:rStyle w:val="VerbatimChar"/>
              </w:rPr>
              <w:t xml:space="preserve">CLIENT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Посетитель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Искать книги, бронировать, продлевать, отменять и удалять свои брони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Библиотекарь (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Сотрудник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Всё, что читатель, плюс управление каталогом, всеми бронями и просмотр пользователей</w:t>
            </w:r>
          </w:p>
        </w:tc>
      </w:tr>
    </w:tbl>
    <w:p>
      <w:pPr>
        <w:pStyle w:val="BodyText"/>
      </w:pPr>
      <w:r>
        <w:t xml:space="preserve">Авторизация — Spring Security: вход по логину и паролю, пароли хранятся как BCrypt-хэш, доступ к страницам ограничен ролью. Новые пользователи регистрируются читателями, библиотекарь создаётся при первом запуске.</w:t>
      </w:r>
    </w:p>
    <w:bookmarkEnd w:id="21"/>
    <w:bookmarkStart w:id="22" w:name="бизнес-сущности-и-crud"/>
    <w:p>
      <w:pPr>
        <w:pStyle w:val="Heading1"/>
      </w:pPr>
      <w:r>
        <w:t xml:space="preserve">3. Бизнес-сущности и CRUD</w:t>
      </w:r>
    </w:p>
    <w:p>
      <w:pPr>
        <w:pStyle w:val="FirstParagraph"/>
      </w:pPr>
      <w:r>
        <w:t xml:space="preserve">В системе две бизнес-сущности, для каждой реализован полный CRUD.</w:t>
      </w:r>
    </w:p>
    <w:p>
      <w:pPr>
        <w:pStyle w:val="BodyText"/>
      </w:pPr>
      <w:r>
        <w:rPr>
          <w:bCs/>
          <w:b/>
        </w:rPr>
        <w:t xml:space="preserve">Книга (</w:t>
      </w:r>
      <w:r>
        <w:rPr>
          <w:rStyle w:val="VerbatimChar"/>
          <w:bCs/>
          <w:b/>
        </w:rPr>
        <w:t xml:space="preserve">Book</w:t>
      </w:r>
      <w:r>
        <w:rPr>
          <w:bCs/>
          <w:b/>
        </w:rPr>
        <w:t xml:space="preserve">)</w:t>
      </w:r>
      <w:r>
        <w:t xml:space="preserve"> </w:t>
      </w:r>
      <w:r>
        <w:t xml:space="preserve">— название, автор, жанр, год издания, описание, общее число экземпляров, обложка.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«Новая книга» с загрузкой обложки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авторизованные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с поиском и фильтрами, карточка книги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Редактирование полей, замена или удаление обложки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Библиотекарь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книги, если по ней нет открытых броней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Бронь (</w:t>
      </w:r>
      <w:r>
        <w:rPr>
          <w:rStyle w:val="VerbatimChar"/>
          <w:bCs/>
          <w:b/>
        </w:rPr>
        <w:t xml:space="preserve">Reservation</w:t>
      </w:r>
      <w:r>
        <w:rPr>
          <w:bCs/>
          <w:b/>
        </w:rPr>
        <w:t xml:space="preserve">)</w:t>
      </w:r>
      <w:r>
        <w:t xml:space="preserve"> </w:t>
      </w:r>
      <w:r>
        <w:t xml:space="preserve">— читатель, книга, дата создания, срок («до»), статус, комментарий.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Как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«Забронировать» на карточке книги, срок 1–30 дней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 — свои, библиотекарь — 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броней с фильтром по статусу, подсветка просроченных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 — срок и комментарий; библиотекарь — также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редактирования брони, отмена брони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Читатель — закрытые свои; библиотекарь — любые, кроме выданных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Удаление записи из истории</w:t>
            </w:r>
          </w:p>
        </w:tc>
      </w:tr>
    </w:tbl>
    <w:p>
      <w:pPr>
        <w:pStyle w:val="BodyText"/>
      </w:pPr>
      <w:r>
        <w:t xml:space="preserve">Жизненный цикл брони:</w:t>
      </w:r>
      <w:r>
        <w:t xml:space="preserve"> </w:t>
      </w:r>
      <w:r>
        <w:rPr>
          <w:bCs/>
          <w:b/>
        </w:rPr>
        <w:t xml:space="preserve">Забронирована → Выдана → Возвращена</w:t>
      </w:r>
      <w:r>
        <w:t xml:space="preserve">, либо</w:t>
      </w:r>
      <w:r>
        <w:t xml:space="preserve"> </w:t>
      </w:r>
      <w:r>
        <w:rPr>
          <w:bCs/>
          <w:b/>
        </w:rPr>
        <w:t xml:space="preserve">Забронирована → Отменена</w:t>
      </w:r>
      <w:r>
        <w:t xml:space="preserve">. Другие переходы запрещены.</w:t>
      </w:r>
    </w:p>
    <w:p>
      <w:pPr>
        <w:pStyle w:val="BodyText"/>
      </w:pPr>
      <w:r>
        <w:t xml:space="preserve">Бизнес-правила:</w:t>
      </w:r>
    </w:p>
    <w:p>
      <w:pPr>
        <w:numPr>
          <w:ilvl w:val="0"/>
          <w:numId w:val="1002"/>
        </w:numPr>
        <w:pStyle w:val="Compact"/>
      </w:pPr>
      <w:r>
        <w:t xml:space="preserve">нельзя забронировать книгу, если все экземпляры заняты (занятыми считаются брони в статусах «Забронирована» и «Выдана»);</w:t>
      </w:r>
    </w:p>
    <w:p>
      <w:pPr>
        <w:numPr>
          <w:ilvl w:val="0"/>
          <w:numId w:val="1002"/>
        </w:numPr>
        <w:pStyle w:val="Compact"/>
      </w:pPr>
      <w:r>
        <w:t xml:space="preserve">у читателя может быть не больше одной открытой брони на одну книгу и не больше 5 открытых броней всего;</w:t>
      </w:r>
    </w:p>
    <w:p>
      <w:pPr>
        <w:numPr>
          <w:ilvl w:val="0"/>
          <w:numId w:val="1002"/>
        </w:numPr>
        <w:pStyle w:val="Compact"/>
      </w:pPr>
      <w:r>
        <w:t xml:space="preserve">срок брони — не более 30 дней с даты её создания;</w:t>
      </w:r>
    </w:p>
    <w:p>
      <w:pPr>
        <w:numPr>
          <w:ilvl w:val="0"/>
          <w:numId w:val="1002"/>
        </w:numPr>
        <w:pStyle w:val="Compact"/>
      </w:pPr>
      <w:r>
        <w:t xml:space="preserve">нельзя уменьшить число экземпляров книги ниже количества уже занятых;</w:t>
      </w:r>
    </w:p>
    <w:p>
      <w:pPr>
        <w:numPr>
          <w:ilvl w:val="0"/>
          <w:numId w:val="1002"/>
        </w:numPr>
        <w:pStyle w:val="Compact"/>
      </w:pPr>
      <w:r>
        <w:t xml:space="preserve">нельзя удалить книгу, пока по ней есть открытые брони.</w:t>
      </w:r>
    </w:p>
    <w:bookmarkEnd w:id="22"/>
    <w:bookmarkStart w:id="23" w:name="архитектура"/>
    <w:p>
      <w:pPr>
        <w:pStyle w:val="Heading1"/>
      </w:pPr>
      <w:r>
        <w:t xml:space="preserve">4. Архитектура</w:t>
      </w:r>
    </w:p>
    <w:p>
      <w:pPr>
        <w:pStyle w:val="FirstParagraph"/>
      </w:pPr>
      <w:r>
        <w:t xml:space="preserve">Приложение построено по классической трёхслойной схеме и разворачивается в трёх Docker-контейнерах: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Браузер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app</w:t>
      </w:r>
      <w:r>
        <w:t xml:space="preserve">: UI → Controller → Service → Repository →</w:t>
      </w:r>
      <w:r>
        <w:t xml:space="preserve"> </w:t>
      </w:r>
      <w:r>
        <w:rPr>
          <w:bCs/>
          <w:b/>
        </w:rPr>
        <w:t xml:space="preserve">db</w:t>
      </w:r>
      <w:r>
        <w:t xml:space="preserve"> </w:t>
      </w:r>
      <w:r>
        <w:t xml:space="preserve">(PostgreSQL)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app</w:t>
      </w:r>
      <w:r>
        <w:t xml:space="preserve">: Service →</w:t>
      </w:r>
      <w:r>
        <w:t xml:space="preserve"> </w:t>
      </w:r>
      <w:r>
        <w:rPr>
          <w:bCs/>
          <w:b/>
        </w:rPr>
        <w:t xml:space="preserve">minio</w:t>
      </w:r>
      <w:r>
        <w:t xml:space="preserve"> </w:t>
      </w:r>
      <w:r>
        <w:t xml:space="preserve">(S3-хранилище обложек)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Образ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собирается из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и веб-интерфейс (UI отрисовывается на сервере шаблонами Thymeleaf)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postgres:16-alpine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Хранение пользователей, книг и броней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minio/minio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S3-совместимое хранилище обложек</w:t>
            </w:r>
          </w:p>
        </w:tc>
      </w:tr>
    </w:tbl>
    <w:p>
      <w:pPr>
        <w:pStyle w:val="BodyText"/>
      </w:pPr>
      <w:r>
        <w:t xml:space="preserve">Слои кода: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controller</w:t>
      </w:r>
      <w:r>
        <w:t xml:space="preserve"> </w:t>
      </w:r>
      <w:r>
        <w:t xml:space="preserve">— принимает HTTP-запросы, проверяет формы, показывает страницы;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— бизнес-правила и CRUD-операции (</w:t>
      </w:r>
      <w:r>
        <w:rPr>
          <w:rStyle w:val="VerbatimChar"/>
        </w:rPr>
        <w:t xml:space="preserve">BookService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ReservationService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UserService</w:t>
      </w:r>
      <w:r>
        <w:t xml:space="preserve">);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repository</w:t>
      </w:r>
      <w:r>
        <w:t xml:space="preserve"> </w:t>
      </w:r>
      <w:r>
        <w:t xml:space="preserve">— доступ к БД через Spring Data JPA;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storage</w:t>
      </w:r>
      <w:r>
        <w:t xml:space="preserve"> </w:t>
      </w:r>
      <w:r>
        <w:t xml:space="preserve">— абстракция</w:t>
      </w:r>
      <w:r>
        <w:t xml:space="preserve"> </w:t>
      </w:r>
      <w:r>
        <w:rPr>
          <w:rStyle w:val="VerbatimChar"/>
        </w:rPr>
        <w:t xml:space="preserve">FileStorage</w:t>
      </w:r>
      <w:r>
        <w:t xml:space="preserve"> </w:t>
      </w:r>
      <w:r>
        <w:t xml:space="preserve">с двумя реализациями:</w:t>
      </w:r>
      <w:r>
        <w:t xml:space="preserve"> </w:t>
      </w:r>
      <w:r>
        <w:rPr>
          <w:rStyle w:val="VerbatimChar"/>
        </w:rPr>
        <w:t xml:space="preserve">MinioFileStorage</w:t>
      </w:r>
      <w:r>
        <w:t xml:space="preserve"> </w:t>
      </w:r>
      <w:r>
        <w:t xml:space="preserve">(в Docker) и</w:t>
      </w:r>
      <w:r>
        <w:t xml:space="preserve"> </w:t>
      </w:r>
      <w:r>
        <w:rPr>
          <w:rStyle w:val="VerbatimChar"/>
        </w:rPr>
        <w:t xml:space="preserve">LocalFileStorage</w:t>
      </w:r>
      <w:r>
        <w:t xml:space="preserve"> </w:t>
      </w:r>
      <w:r>
        <w:t xml:space="preserve">(для запуска из IDE без Docker).</w:t>
      </w:r>
    </w:p>
    <w:bookmarkEnd w:id="23"/>
    <w:bookmarkStart w:id="24" w:name="интеграция-с-s3-minio"/>
    <w:p>
      <w:pPr>
        <w:pStyle w:val="Heading1"/>
      </w:pPr>
      <w:r>
        <w:t xml:space="preserve">5. Интеграция с S3 (MinIO)</w:t>
      </w:r>
    </w:p>
    <w:p>
      <w:pPr>
        <w:pStyle w:val="FirstParagraph"/>
      </w:pPr>
      <w:r>
        <w:t xml:space="preserve">Обложки книг хранятся не в базе данных, а во внешнем объектном хранилище MinIO, совместимом с Amazon S3. Хранилище работает по принципу</w:t>
      </w:r>
      <w:r>
        <w:t xml:space="preserve"> </w:t>
      </w:r>
      <w:r>
        <w:rPr>
          <w:bCs/>
          <w:b/>
        </w:rPr>
        <w:t xml:space="preserve">ключ → значение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библиотекарь загружает картинку в форме книги;</w:t>
      </w:r>
    </w:p>
    <w:p>
      <w:pPr>
        <w:numPr>
          <w:ilvl w:val="0"/>
          <w:numId w:val="1005"/>
        </w:numPr>
        <w:pStyle w:val="Compact"/>
      </w:pPr>
      <w:r>
        <w:t xml:space="preserve">сервер генерирует уникальный ключ вида</w:t>
      </w:r>
      <w:r>
        <w:t xml:space="preserve"> </w:t>
      </w:r>
      <w:r>
        <w:rPr>
          <w:rStyle w:val="VerbatimChar"/>
        </w:rPr>
        <w:t xml:space="preserve">covers/&lt;uuid&gt;.png</w:t>
      </w:r>
      <w:r>
        <w:t xml:space="preserve"> </w:t>
      </w:r>
      <w:r>
        <w:t xml:space="preserve">и кладёт файл в бакет</w:t>
      </w:r>
      <w:r>
        <w:t xml:space="preserve"> </w:t>
      </w:r>
      <w:r>
        <w:rPr>
          <w:rStyle w:val="VerbatimChar"/>
        </w:rPr>
        <w:t xml:space="preserve">book-covers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сохраняется только ключ (</w:t>
      </w:r>
      <w:r>
        <w:rPr>
          <w:rStyle w:val="VerbatimChar"/>
        </w:rPr>
        <w:t xml:space="preserve">cover_key</w:t>
      </w:r>
      <w:r>
        <w:t xml:space="preserve">);</w:t>
      </w:r>
    </w:p>
    <w:p>
      <w:pPr>
        <w:numPr>
          <w:ilvl w:val="0"/>
          <w:numId w:val="1005"/>
        </w:numPr>
        <w:pStyle w:val="Compact"/>
      </w:pPr>
      <w:r>
        <w:t xml:space="preserve">при показе карточки сервер по ключу достаёт файл из MinIO и отдаёт его браузеру;</w:t>
      </w:r>
    </w:p>
    <w:p>
      <w:pPr>
        <w:numPr>
          <w:ilvl w:val="0"/>
          <w:numId w:val="1005"/>
        </w:numPr>
        <w:pStyle w:val="Compact"/>
      </w:pPr>
      <w:r>
        <w:t xml:space="preserve">при замене обложки или удалении книги старый объект удаляется из бакета.</w:t>
      </w:r>
    </w:p>
    <w:p>
      <w:pPr>
        <w:pStyle w:val="FirstParagraph"/>
      </w:pPr>
      <w:r>
        <w:t xml:space="preserve">Бакет создаётся автоматически; содержимое видно в консоли MinIO на</w:t>
      </w:r>
      <w:r>
        <w:t xml:space="preserve"> </w:t>
      </w:r>
      <w:r>
        <w:rPr>
          <w:rStyle w:val="VerbatimChar"/>
        </w:rPr>
        <w:t xml:space="preserve">http://localhost:9001</w:t>
      </w:r>
      <w:r>
        <w:t xml:space="preserve">.</w:t>
      </w:r>
    </w:p>
    <w:bookmarkEnd w:id="24"/>
    <w:bookmarkStart w:id="25" w:name="модель-данных"/>
    <w:p>
      <w:pPr>
        <w:pStyle w:val="Heading1"/>
      </w:pPr>
      <w:r>
        <w:t xml:space="preserve">6. Модель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Таблица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Основные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username (уникальный), password (BCrypt), full_name, role (</w:t>
            </w:r>
            <w:r>
              <w:rPr>
                <w:rStyle w:val="VerbatimChar"/>
              </w:rPr>
              <w:t xml:space="preserve">CLIENT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),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title, author, genre, publish_year, description, total_copies, cover_key, created_at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 → users, book_id → books, status, created_at, due_date, note</w:t>
            </w:r>
          </w:p>
        </w:tc>
      </w:tr>
    </w:tbl>
    <w:bookmarkEnd w:id="25"/>
    <w:bookmarkStart w:id="26" w:name="технологии-и-запуск"/>
    <w:p>
      <w:pPr>
        <w:pStyle w:val="Heading1"/>
      </w:pPr>
      <w:r>
        <w:t xml:space="preserve">7. Технологии и запуск</w:t>
      </w:r>
    </w:p>
    <w:p>
      <w:pPr>
        <w:pStyle w:val="FirstParagraph"/>
      </w:pPr>
      <w:r>
        <w:t xml:space="preserve">Java 17, Spring Boot 3 (Web MVC, Security, Data JPA, Validation), Thymeleaf, PostgreSQL 16 (в Docker) / H2 (при запуске из IDE и в тестах), MinIO (клиент</w:t>
      </w:r>
      <w:r>
        <w:t xml:space="preserve"> </w:t>
      </w:r>
      <w:r>
        <w:rPr>
          <w:rStyle w:val="VerbatimChar"/>
        </w:rPr>
        <w:t xml:space="preserve">io.minio</w:t>
      </w:r>
      <w:r>
        <w:t xml:space="preserve">), Maven, Docker Compose, JUnit 5 + MockMvc, Git.</w:t>
      </w:r>
    </w:p>
    <w:p>
      <w:pPr>
        <w:pStyle w:val="BodyText"/>
      </w:pPr>
      <w:r>
        <w:t xml:space="preserve">Запуск из IntelliJ IDEA: открыть папку проекта и запустить</w:t>
      </w:r>
      <w:r>
        <w:t xml:space="preserve"> </w:t>
      </w:r>
      <w:r>
        <w:rPr>
          <w:rStyle w:val="VerbatimChar"/>
        </w:rPr>
        <w:t xml:space="preserve">LibraryBookingApplication</w:t>
      </w:r>
      <w:r>
        <w:t xml:space="preserve">. Полный стенд:</w:t>
      </w:r>
      <w:r>
        <w:t xml:space="preserve"> </w:t>
      </w:r>
      <w:r>
        <w:rPr>
          <w:rStyle w:val="VerbatimChar"/>
        </w:rPr>
        <w:t xml:space="preserve">docker compose up --build</w:t>
      </w:r>
      <w:r>
        <w:t xml:space="preserve">. Адрес —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, демо-аккаунты</w:t>
      </w:r>
      <w:r>
        <w:t xml:space="preserve"> </w:t>
      </w:r>
      <w:r>
        <w:rPr>
          <w:rStyle w:val="VerbatimChar"/>
        </w:rPr>
        <w:t xml:space="preserve">admin / admin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 / client</w:t>
      </w:r>
      <w:r>
        <w:t xml:space="preserve">.</w:t>
      </w:r>
    </w:p>
    <w:bookmarkEnd w:id="26"/>
    <w:bookmarkStart w:id="27" w:name="соответствие-требованиям-задания"/>
    <w:p>
      <w:pPr>
        <w:pStyle w:val="Heading1"/>
      </w:pPr>
      <w:r>
        <w:t xml:space="preserve">8. Соответствие требованиям задания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</w:rPr>
              <w:t xml:space="preserve">Где выполнено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+ документ с описанием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Git, этот 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use cases, из них 20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«Use cases»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+ БД + UI в Docker-контейнерах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docker-compose.yml</w:t>
            </w:r>
            <w:r>
              <w:t xml:space="preserve">: app, db, minio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CRUD по двум бизнес-сущностям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Книга и Бронь (раздел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Авторизация, роли Client и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Security, роли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S3-хранилище MinIO для обложек (раздел 5)</w:t>
            </w:r>
          </w:p>
        </w:tc>
      </w:tr>
    </w:tbl>
    <w:bookmarkEnd w:id="27"/>
    <w:sectPr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rFonts w:ascii="Calibri" w:hAnsi="Calibri" w:cs="Calibri" w:eastAsia="Calibri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  <w:rFonts w:ascii="Calibri" w:hAnsi="Calibri" w:cs="Calibri" w:eastAsia="Calibri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Calibri" w:hAnsi="Calibri" w:cs="Calibri" w:eastAsia="Calibri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  <w:rPr>
      <w:rFonts w:ascii="Calibri" w:hAnsi="Calibri" w:cs="Calibri" w:eastAsia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 w:cs="Calibri" w:eastAsia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Calibri" w:hAnsi="Calibri" w:cs="Calibri" w:eastAsia="Calibri"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Calibri" w:hAnsi="Calibri" w:cs="Calibri" w:eastAsia="Calibri"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 w:cs="Calibri" w:eastAsia="Calibri"/>
    </w:rPr>
  </w:style>
  <w:style w:customStyle="1" w:styleId="VerbatimChar" w:type="character">
    <w:name w:val="Verbatim Char"/>
    <w:basedOn w:val="BodyTextChar"/>
    <w:rPr>
      <w:rFonts w:ascii="Calibri" w:hAnsi="Calibri" w:cs="Calibri" w:eastAsia="Calibri"/>
      <w:sz w:val="22"/>
    </w:rPr>
  </w:style>
  <w:style w:customStyle="1" w:styleId="SectionNumber" w:type="character">
    <w:name w:val="Section Number"/>
    <w:basedOn w:val="BodyTextChar"/>
    <w:rPr>
      <w:rFonts w:ascii="Calibri" w:hAnsi="Calibri" w:cs="Calibri" w:eastAsia="Calibri"/>
    </w:rPr>
  </w:style>
  <w:style w:styleId="FootnoteReference" w:type="character">
    <w:name w:val="Footnote Reference"/>
    <w:basedOn w:val="BodyTextChar"/>
    <w:rPr>
      <w:vertAlign w:val="superscript"/>
      <w:rFonts w:ascii="Calibri" w:hAnsi="Calibri" w:cs="Calibri" w:eastAsia="Calibri"/>
    </w:rPr>
  </w:style>
  <w:style w:styleId="Hyperlink" w:type="character">
    <w:name w:val="Hyperlink"/>
    <w:basedOn w:val="BodyTextChar"/>
    <w:rPr>
      <w:color w:themeColor="accent1" w:val="4F81BD"/>
      <w:rFonts w:ascii="Calibri" w:hAnsi="Calibri" w:cs="Calibri" w:eastAsia="Calibri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  <w:rFonts w:ascii="Calibri" w:hAnsi="Calibri" w:cs="Calibri" w:eastAsia="Calibri"/>
    </w:rPr>
  </w:style>
  <w:style w:type="character" w:customStyle="1" w:styleId="DataTypeTok">
    <w:name w:val="DataTypeTok"/>
    <w:basedOn w:val="VerbatimChar"/>
    <w:rPr>
      <w:color w:val="902000"/>
      <w:rFonts w:ascii="Calibri" w:hAnsi="Calibri" w:cs="Calibri" w:eastAsia="Calibri"/>
    </w:rPr>
  </w:style>
  <w:style w:type="character" w:customStyle="1" w:styleId="DecValTok">
    <w:name w:val="DecValTok"/>
    <w:basedOn w:val="VerbatimChar"/>
    <w:rPr>
      <w:color w:val="40a070"/>
      <w:rFonts w:ascii="Calibri" w:hAnsi="Calibri" w:cs="Calibri" w:eastAsia="Calibri"/>
    </w:rPr>
  </w:style>
  <w:style w:type="character" w:customStyle="1" w:styleId="BaseNTok">
    <w:name w:val="BaseNTok"/>
    <w:basedOn w:val="VerbatimChar"/>
    <w:rPr>
      <w:color w:val="40a070"/>
      <w:rFonts w:ascii="Calibri" w:hAnsi="Calibri" w:cs="Calibri" w:eastAsia="Calibri"/>
    </w:rPr>
  </w:style>
  <w:style w:type="character" w:customStyle="1" w:styleId="FloatTok">
    <w:name w:val="FloatTok"/>
    <w:basedOn w:val="VerbatimChar"/>
    <w:rPr>
      <w:color w:val="40a070"/>
      <w:rFonts w:ascii="Calibri" w:hAnsi="Calibri" w:cs="Calibri" w:eastAsia="Calibri"/>
    </w:rPr>
  </w:style>
  <w:style w:type="character" w:customStyle="1" w:styleId="ConstantTok">
    <w:name w:val="ConstantTok"/>
    <w:basedOn w:val="VerbatimChar"/>
    <w:rPr>
      <w:color w:val="880000"/>
      <w:rFonts w:ascii="Calibri" w:hAnsi="Calibri" w:cs="Calibri" w:eastAsia="Calibri"/>
    </w:rPr>
  </w:style>
  <w:style w:type="character" w:customStyle="1" w:styleId="CharTok">
    <w:name w:val="CharTok"/>
    <w:basedOn w:val="VerbatimChar"/>
    <w:rPr>
      <w:color w:val="4070a0"/>
      <w:rFonts w:ascii="Calibri" w:hAnsi="Calibri" w:cs="Calibri" w:eastAsia="Calibri"/>
    </w:rPr>
  </w:style>
  <w:style w:type="character" w:customStyle="1" w:styleId="SpecialCharTok">
    <w:name w:val="SpecialCharTok"/>
    <w:basedOn w:val="VerbatimChar"/>
    <w:rPr>
      <w:color w:val="4070a0"/>
      <w:rFonts w:ascii="Calibri" w:hAnsi="Calibri" w:cs="Calibri" w:eastAsia="Calibri"/>
    </w:rPr>
  </w:style>
  <w:style w:type="character" w:customStyle="1" w:styleId="StringTok">
    <w:name w:val="StringTok"/>
    <w:basedOn w:val="VerbatimChar"/>
    <w:rPr>
      <w:color w:val="4070a0"/>
      <w:rFonts w:ascii="Calibri" w:hAnsi="Calibri" w:cs="Calibri" w:eastAsia="Calibri"/>
    </w:rPr>
  </w:style>
  <w:style w:type="character" w:customStyle="1" w:styleId="VerbatimStringTok">
    <w:name w:val="VerbatimStringTok"/>
    <w:basedOn w:val="VerbatimChar"/>
    <w:rPr>
      <w:color w:val="4070a0"/>
      <w:rFonts w:ascii="Calibri" w:hAnsi="Calibri" w:cs="Calibri" w:eastAsia="Calibri"/>
    </w:rPr>
  </w:style>
  <w:style w:type="character" w:customStyle="1" w:styleId="SpecialStringTok">
    <w:name w:val="SpecialStringTok"/>
    <w:basedOn w:val="VerbatimChar"/>
    <w:rPr>
      <w:color w:val="bb6688"/>
      <w:rFonts w:ascii="Calibri" w:hAnsi="Calibri" w:cs="Calibri" w:eastAsia="Calibri"/>
    </w:rPr>
  </w:style>
  <w:style w:type="character" w:customStyle="1" w:styleId="ImportTok">
    <w:name w:val="ImportTok"/>
    <w:basedOn w:val="VerbatimChar"/>
    <w:rPr>
      <w:color w:val="008000"/>
      <w:b/>
      <w:rFonts w:ascii="Calibri" w:hAnsi="Calibri" w:cs="Calibri" w:eastAsia="Calibri"/>
    </w:rPr>
  </w:style>
  <w:style w:type="character" w:customStyle="1" w:styleId="CommentTok">
    <w:name w:val="CommentTok"/>
    <w:basedOn w:val="VerbatimChar"/>
    <w:rPr>
      <w:color w:val="60a0b0"/>
      <w:i/>
      <w:rFonts w:ascii="Calibri" w:hAnsi="Calibri" w:cs="Calibri" w:eastAsia="Calibri"/>
    </w:rPr>
  </w:style>
  <w:style w:type="character" w:customStyle="1" w:styleId="DocumentationTok">
    <w:name w:val="DocumentationTok"/>
    <w:basedOn w:val="VerbatimChar"/>
    <w:rPr>
      <w:color w:val="ba2121"/>
      <w:i/>
      <w:rFonts w:ascii="Calibri" w:hAnsi="Calibri" w:cs="Calibri" w:eastAsia="Calibri"/>
    </w:rPr>
  </w:style>
  <w:style w:type="character" w:customStyle="1" w:styleId="AnnotationTok">
    <w:name w:val="Annot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CommentVarTok">
    <w:name w:val="CommentVar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OtherTok">
    <w:name w:val="OtherTok"/>
    <w:basedOn w:val="VerbatimChar"/>
    <w:rPr>
      <w:color w:val="007020"/>
      <w:rFonts w:ascii="Calibri" w:hAnsi="Calibri" w:cs="Calibri" w:eastAsia="Calibri"/>
    </w:rPr>
  </w:style>
  <w:style w:type="character" w:customStyle="1" w:styleId="FunctionTok">
    <w:name w:val="FunctionTok"/>
    <w:basedOn w:val="VerbatimChar"/>
    <w:rPr>
      <w:color w:val="06287e"/>
      <w:rFonts w:ascii="Calibri" w:hAnsi="Calibri" w:cs="Calibri" w:eastAsia="Calibri"/>
    </w:rPr>
  </w:style>
  <w:style w:type="character" w:customStyle="1" w:styleId="VariableTok">
    <w:name w:val="VariableTok"/>
    <w:basedOn w:val="VerbatimChar"/>
    <w:rPr>
      <w:color w:val="19177c"/>
      <w:rFonts w:ascii="Calibri" w:hAnsi="Calibri" w:cs="Calibri" w:eastAsia="Calibri"/>
    </w:rPr>
  </w:style>
  <w:style w:type="character" w:customStyle="1" w:styleId="ControlFlowTok">
    <w:name w:val="ControlFlowTok"/>
    <w:basedOn w:val="VerbatimChar"/>
    <w:rPr>
      <w:color w:val="007020"/>
      <w:b/>
      <w:rFonts w:ascii="Calibri" w:hAnsi="Calibri" w:cs="Calibri" w:eastAsia="Calibri"/>
    </w:rPr>
  </w:style>
  <w:style w:type="character" w:customStyle="1" w:styleId="OperatorTok">
    <w:name w:val="OperatorTok"/>
    <w:basedOn w:val="VerbatimChar"/>
    <w:rPr>
      <w:color w:val="666666"/>
      <w:rFonts w:ascii="Calibri" w:hAnsi="Calibri" w:cs="Calibri" w:eastAsia="Calibri"/>
    </w:rPr>
  </w:style>
  <w:style w:type="character" w:customStyle="1" w:styleId="BuiltInTok">
    <w:name w:val="BuiltInTok"/>
    <w:basedOn w:val="VerbatimChar"/>
    <w:rPr>
      <w:color w:val="008000"/>
      <w:rFonts w:ascii="Calibri" w:hAnsi="Calibri" w:cs="Calibri" w:eastAsia="Calibri"/>
    </w:rPr>
  </w:style>
  <w:style w:type="character" w:customStyle="1" w:styleId="ExtensionTok">
    <w:name w:val="ExtensionTok"/>
    <w:basedOn w:val="VerbatimChar"/>
    <w:rPr>
      <w:rFonts w:ascii="Calibri" w:hAnsi="Calibri" w:cs="Calibri" w:eastAsia="Calibri"/>
    </w:rPr>
  </w:style>
  <w:style w:type="character" w:customStyle="1" w:styleId="PreprocessorTok">
    <w:name w:val="PreprocessorTok"/>
    <w:basedOn w:val="VerbatimChar"/>
    <w:rPr>
      <w:color w:val="bc7a00"/>
      <w:rFonts w:ascii="Calibri" w:hAnsi="Calibri" w:cs="Calibri" w:eastAsia="Calibri"/>
    </w:rPr>
  </w:style>
  <w:style w:type="character" w:customStyle="1" w:styleId="AttributeTok">
    <w:name w:val="AttributeTok"/>
    <w:basedOn w:val="VerbatimChar"/>
    <w:rPr>
      <w:color w:val="7d9029"/>
      <w:rFonts w:ascii="Calibri" w:hAnsi="Calibri" w:cs="Calibri" w:eastAsia="Calibri"/>
    </w:rPr>
  </w:style>
  <w:style w:type="character" w:customStyle="1" w:styleId="RegionMarkerTok">
    <w:name w:val="RegionMarkerTok"/>
    <w:basedOn w:val="VerbatimChar"/>
    <w:rPr>
      <w:rFonts w:ascii="Calibri" w:hAnsi="Calibri" w:cs="Calibri" w:eastAsia="Calibri"/>
    </w:rPr>
  </w:style>
  <w:style w:type="character" w:customStyle="1" w:styleId="InformationTok">
    <w:name w:val="Information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WarningTok">
    <w:name w:val="WarningTok"/>
    <w:basedOn w:val="VerbatimChar"/>
    <w:rPr>
      <w:color w:val="60a0b0"/>
      <w:b/>
      <w:i/>
      <w:rFonts w:ascii="Calibri" w:hAnsi="Calibri" w:cs="Calibri" w:eastAsia="Calibri"/>
    </w:rPr>
  </w:style>
  <w:style w:type="character" w:customStyle="1" w:styleId="AlertTok">
    <w:name w:val="AlertTok"/>
    <w:basedOn w:val="VerbatimChar"/>
    <w:rPr>
      <w:color w:val="ff0000"/>
      <w:b/>
      <w:rFonts w:ascii="Calibri" w:hAnsi="Calibri" w:cs="Calibri" w:eastAsia="Calibri"/>
    </w:rPr>
  </w:style>
  <w:style w:type="character" w:customStyle="1" w:styleId="ErrorTok">
    <w:name w:val="ErrorTok"/>
    <w:basedOn w:val="VerbatimChar"/>
    <w:rPr>
      <w:color w:val="ff0000"/>
      <w:b/>
      <w:rFonts w:ascii="Calibri" w:hAnsi="Calibri" w:cs="Calibri" w:eastAsia="Calibri"/>
    </w:rPr>
  </w:style>
  <w:style w:type="character" w:customStyle="1" w:styleId="NormalTok">
    <w:name w:val="NormalTok"/>
    <w:basedOn w:val="VerbatimChar"/>
    <w:rPr>
      <w:rFonts w:ascii="Calibri" w:hAnsi="Calibri" w:cs="Calibri" w:eastAsia="Calibri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«Читальня» — система онлайн-бронирования книг в библиотеке</dc:title>
  <dc:creator/>
  <cp:keywords/>
  <dcterms:created xsi:type="dcterms:W3CDTF">2026-10-15T04:59:45Z</dcterms:created>
  <dcterms:modified xsi:type="dcterms:W3CDTF">2026-10-15T04:59:45Z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Описание проекта</vt:lpwstr>
  </property>
</Properties>
</file>