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F39" w:rsidRDefault="00945035" w:rsidP="00B9479B">
      <w:pPr>
        <w:pStyle w:val="Heading1"/>
      </w:pPr>
      <w:bookmarkStart w:id="0" w:name="_GoBack"/>
      <w:bookmarkEnd w:id="0"/>
      <w:r>
        <w:t>Audio Settings - Deployment Table (for reference only)</w:t>
      </w:r>
    </w:p>
    <w:p w:rsidR="00AE06BC" w:rsidRPr="00AE06BC" w:rsidRDefault="00945035" w:rsidP="00AE06BC"/>
    <w:tbl>
      <w:tblPr>
        <w:tblStyle w:val="TableGrid"/>
        <w:tblW w:w="10165" w:type="dxa"/>
        <w:jc w:val="center"/>
        <w:tblLayout w:type="fixed"/>
        <w:tblLook w:val="04A0" w:firstRow="1" w:lastRow="0" w:firstColumn="1" w:lastColumn="0" w:noHBand="0" w:noVBand="1"/>
      </w:tblPr>
      <w:tblGrid>
        <w:gridCol w:w="1934"/>
        <w:gridCol w:w="1268"/>
        <w:gridCol w:w="1383"/>
        <w:gridCol w:w="900"/>
        <w:gridCol w:w="1350"/>
        <w:gridCol w:w="1350"/>
        <w:gridCol w:w="900"/>
        <w:gridCol w:w="1080"/>
      </w:tblGrid>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tcPr>
          <w:p w:rsidR="00440E75" w:rsidRDefault="00945035"/>
        </w:tc>
        <w:tc>
          <w:tcPr>
            <w:tcW w:w="1268" w:type="dxa"/>
            <w:tcBorders>
              <w:top w:val="single" w:sz="4" w:space="0" w:color="auto"/>
              <w:left w:val="single" w:sz="4" w:space="0" w:color="auto"/>
              <w:bottom w:val="single" w:sz="4" w:space="0" w:color="auto"/>
              <w:right w:val="single" w:sz="4" w:space="0" w:color="auto"/>
            </w:tcBorders>
            <w:hideMark/>
          </w:tcPr>
          <w:p w:rsidR="00440E75" w:rsidRDefault="00945035">
            <w:r>
              <w:t>AHU (</w:t>
            </w:r>
            <w:proofErr w:type="spellStart"/>
            <w:r>
              <w:t>non integrated</w:t>
            </w:r>
            <w:proofErr w:type="spellEnd"/>
            <w:r>
              <w:t>) no DSP</w:t>
            </w:r>
          </w:p>
        </w:tc>
        <w:tc>
          <w:tcPr>
            <w:tcW w:w="1383" w:type="dxa"/>
            <w:tcBorders>
              <w:top w:val="single" w:sz="4" w:space="0" w:color="auto"/>
              <w:left w:val="single" w:sz="4" w:space="0" w:color="auto"/>
              <w:bottom w:val="single" w:sz="4" w:space="0" w:color="auto"/>
              <w:right w:val="single" w:sz="4" w:space="0" w:color="auto"/>
            </w:tcBorders>
          </w:tcPr>
          <w:p w:rsidR="00440E75" w:rsidRDefault="00945035">
            <w:r>
              <w:t>AHU (</w:t>
            </w:r>
            <w:proofErr w:type="spellStart"/>
            <w:r>
              <w:t>non integrated</w:t>
            </w:r>
            <w:proofErr w:type="spellEnd"/>
            <w:r>
              <w:t>) w/DSP</w:t>
            </w: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r>
              <w:t>SYNC 4.0</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rsidP="00AC5453">
            <w:r>
              <w:t>SYNC 4.1/4.2 no DSPv2</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r>
              <w:t>SYNC 4.1/4.2 w/DSPv2</w:t>
            </w: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r>
              <w:t xml:space="preserve">DSP </w:t>
            </w:r>
          </w:p>
        </w:tc>
        <w:tc>
          <w:tcPr>
            <w:tcW w:w="1080" w:type="dxa"/>
            <w:tcBorders>
              <w:top w:val="single" w:sz="4" w:space="0" w:color="auto"/>
              <w:left w:val="single" w:sz="4" w:space="0" w:color="auto"/>
              <w:bottom w:val="single" w:sz="4" w:space="0" w:color="auto"/>
              <w:right w:val="single" w:sz="4" w:space="0" w:color="auto"/>
            </w:tcBorders>
            <w:hideMark/>
          </w:tcPr>
          <w:p w:rsidR="00440E75" w:rsidRDefault="00945035">
            <w:r>
              <w:t>DSPv2</w:t>
            </w: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Bass, Treble, Mid-Range Audio Settings Client</w:t>
            </w:r>
          </w:p>
        </w:tc>
        <w:tc>
          <w:tcPr>
            <w:tcW w:w="1268"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080" w:type="dxa"/>
            <w:tcBorders>
              <w:top w:val="single" w:sz="4" w:space="0" w:color="auto"/>
              <w:left w:val="single" w:sz="4" w:space="0" w:color="auto"/>
              <w:bottom w:val="single" w:sz="4" w:space="0" w:color="auto"/>
              <w:right w:val="single" w:sz="4" w:space="0" w:color="auto"/>
            </w:tcBorders>
          </w:tcPr>
          <w:p w:rsidR="00440E75" w:rsidRDefault="00945035">
            <w:pPr>
              <w:jc w:val="center"/>
            </w:pP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Bass, Treble, Mid-Range Audio Settings Server</w:t>
            </w:r>
          </w:p>
        </w:tc>
        <w:tc>
          <w:tcPr>
            <w:tcW w:w="1268"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080" w:type="dxa"/>
            <w:tcBorders>
              <w:top w:val="single" w:sz="4" w:space="0" w:color="auto"/>
              <w:left w:val="single" w:sz="4" w:space="0" w:color="auto"/>
              <w:bottom w:val="single" w:sz="4" w:space="0" w:color="auto"/>
              <w:right w:val="single" w:sz="4" w:space="0" w:color="auto"/>
            </w:tcBorders>
          </w:tcPr>
          <w:p w:rsidR="00440E75" w:rsidRDefault="00945035">
            <w:pPr>
              <w:jc w:val="center"/>
            </w:pP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Balance Fade Audio Settings Server</w:t>
            </w:r>
          </w:p>
        </w:tc>
        <w:tc>
          <w:tcPr>
            <w:tcW w:w="1268"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08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 xml:space="preserve">Speed Compensated Audio </w:t>
            </w:r>
            <w:r>
              <w:t>Setting Client</w:t>
            </w:r>
          </w:p>
        </w:tc>
        <w:tc>
          <w:tcPr>
            <w:tcW w:w="1268"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080" w:type="dxa"/>
            <w:tcBorders>
              <w:top w:val="single" w:sz="4" w:space="0" w:color="auto"/>
              <w:left w:val="single" w:sz="4" w:space="0" w:color="auto"/>
              <w:bottom w:val="single" w:sz="4" w:space="0" w:color="auto"/>
              <w:right w:val="single" w:sz="4" w:space="0" w:color="auto"/>
            </w:tcBorders>
          </w:tcPr>
          <w:p w:rsidR="00440E75" w:rsidRDefault="00945035">
            <w:pPr>
              <w:jc w:val="center"/>
            </w:pP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Speed Compensated Audio Setting Server</w:t>
            </w:r>
          </w:p>
        </w:tc>
        <w:tc>
          <w:tcPr>
            <w:tcW w:w="1268"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080" w:type="dxa"/>
            <w:tcBorders>
              <w:top w:val="single" w:sz="4" w:space="0" w:color="auto"/>
              <w:left w:val="single" w:sz="4" w:space="0" w:color="auto"/>
              <w:bottom w:val="single" w:sz="4" w:space="0" w:color="auto"/>
              <w:right w:val="single" w:sz="4" w:space="0" w:color="auto"/>
            </w:tcBorders>
          </w:tcPr>
          <w:p w:rsidR="00440E75" w:rsidRDefault="00945035">
            <w:pPr>
              <w:jc w:val="center"/>
            </w:pPr>
            <w:r>
              <w:t>x</w:t>
            </w: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Occupancy Mode Client</w:t>
            </w:r>
          </w:p>
        </w:tc>
        <w:tc>
          <w:tcPr>
            <w:tcW w:w="1268"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080" w:type="dxa"/>
            <w:tcBorders>
              <w:top w:val="single" w:sz="4" w:space="0" w:color="auto"/>
              <w:left w:val="single" w:sz="4" w:space="0" w:color="auto"/>
              <w:bottom w:val="single" w:sz="4" w:space="0" w:color="auto"/>
              <w:right w:val="single" w:sz="4" w:space="0" w:color="auto"/>
            </w:tcBorders>
          </w:tcPr>
          <w:p w:rsidR="00440E75" w:rsidRDefault="00945035">
            <w:pPr>
              <w:jc w:val="center"/>
            </w:pP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Occupancy Mode Server</w:t>
            </w:r>
          </w:p>
        </w:tc>
        <w:tc>
          <w:tcPr>
            <w:tcW w:w="1268"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080" w:type="dxa"/>
            <w:tcBorders>
              <w:top w:val="single" w:sz="4" w:space="0" w:color="auto"/>
              <w:left w:val="single" w:sz="4" w:space="0" w:color="auto"/>
              <w:bottom w:val="single" w:sz="4" w:space="0" w:color="auto"/>
              <w:right w:val="single" w:sz="4" w:space="0" w:color="auto"/>
            </w:tcBorders>
          </w:tcPr>
          <w:p w:rsidR="00440E75" w:rsidRDefault="00945035">
            <w:pPr>
              <w:jc w:val="center"/>
            </w:pP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Convertible Occupancy Mode Client</w:t>
            </w:r>
          </w:p>
        </w:tc>
        <w:tc>
          <w:tcPr>
            <w:tcW w:w="1268"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5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5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080" w:type="dxa"/>
            <w:tcBorders>
              <w:top w:val="single" w:sz="4" w:space="0" w:color="auto"/>
              <w:left w:val="single" w:sz="4" w:space="0" w:color="auto"/>
              <w:bottom w:val="single" w:sz="4" w:space="0" w:color="auto"/>
              <w:right w:val="single" w:sz="4" w:space="0" w:color="auto"/>
            </w:tcBorders>
          </w:tcPr>
          <w:p w:rsidR="00440E75" w:rsidRDefault="00945035">
            <w:pPr>
              <w:jc w:val="center"/>
            </w:pP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Convertible Occupancy Mode Server</w:t>
            </w:r>
          </w:p>
        </w:tc>
        <w:tc>
          <w:tcPr>
            <w:tcW w:w="1268"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TBD</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TBD</w:t>
            </w: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TBD</w:t>
            </w:r>
          </w:p>
        </w:tc>
        <w:tc>
          <w:tcPr>
            <w:tcW w:w="108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TBD</w:t>
            </w: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 xml:space="preserve">Audio </w:t>
            </w:r>
            <w:r>
              <w:t>Demonstration Client</w:t>
            </w:r>
          </w:p>
        </w:tc>
        <w:tc>
          <w:tcPr>
            <w:tcW w:w="1268"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080" w:type="dxa"/>
            <w:tcBorders>
              <w:top w:val="single" w:sz="4" w:space="0" w:color="auto"/>
              <w:left w:val="single" w:sz="4" w:space="0" w:color="auto"/>
              <w:bottom w:val="single" w:sz="4" w:space="0" w:color="auto"/>
              <w:right w:val="single" w:sz="4" w:space="0" w:color="auto"/>
            </w:tcBorders>
          </w:tcPr>
          <w:p w:rsidR="00440E75" w:rsidRDefault="00945035">
            <w:pPr>
              <w:jc w:val="center"/>
            </w:pP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Audio Demonstration Server</w:t>
            </w:r>
          </w:p>
        </w:tc>
        <w:tc>
          <w:tcPr>
            <w:tcW w:w="1268"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50" w:type="dxa"/>
            <w:tcBorders>
              <w:top w:val="single" w:sz="4" w:space="0" w:color="auto"/>
              <w:left w:val="single" w:sz="4" w:space="0" w:color="auto"/>
              <w:bottom w:val="single" w:sz="4" w:space="0" w:color="auto"/>
              <w:right w:val="single" w:sz="4" w:space="0" w:color="auto"/>
            </w:tcBorders>
          </w:tcPr>
          <w:p w:rsidR="00440E75" w:rsidRPr="00A56293" w:rsidRDefault="00945035" w:rsidP="00A56293">
            <w:pPr>
              <w:jc w:val="center"/>
            </w:pPr>
            <w:r w:rsidRPr="00A56293">
              <w:t>x</w:t>
            </w:r>
          </w:p>
        </w:tc>
        <w:tc>
          <w:tcPr>
            <w:tcW w:w="1350" w:type="dxa"/>
            <w:tcBorders>
              <w:top w:val="single" w:sz="4" w:space="0" w:color="auto"/>
              <w:left w:val="single" w:sz="4" w:space="0" w:color="auto"/>
              <w:bottom w:val="single" w:sz="4" w:space="0" w:color="auto"/>
              <w:right w:val="single" w:sz="4" w:space="0" w:color="auto"/>
            </w:tcBorders>
          </w:tcPr>
          <w:p w:rsidR="00440E75" w:rsidRPr="00A56293" w:rsidRDefault="00945035" w:rsidP="00A56293">
            <w:pPr>
              <w:jc w:val="center"/>
            </w:pPr>
            <w:r w:rsidRPr="00A56293">
              <w:t xml:space="preserve">x </w:t>
            </w: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08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tcPr>
          <w:p w:rsidR="00440E75" w:rsidRDefault="00945035">
            <w:r>
              <w:t>Audio Demonstration Audio Switch Server</w:t>
            </w:r>
          </w:p>
        </w:tc>
        <w:tc>
          <w:tcPr>
            <w:tcW w:w="1268"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50" w:type="dxa"/>
            <w:tcBorders>
              <w:top w:val="single" w:sz="4" w:space="0" w:color="auto"/>
              <w:left w:val="single" w:sz="4" w:space="0" w:color="auto"/>
              <w:bottom w:val="single" w:sz="4" w:space="0" w:color="auto"/>
              <w:right w:val="single" w:sz="4" w:space="0" w:color="auto"/>
            </w:tcBorders>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080" w:type="dxa"/>
            <w:tcBorders>
              <w:top w:val="single" w:sz="4" w:space="0" w:color="auto"/>
              <w:left w:val="single" w:sz="4" w:space="0" w:color="auto"/>
              <w:bottom w:val="single" w:sz="4" w:space="0" w:color="auto"/>
              <w:right w:val="single" w:sz="4" w:space="0" w:color="auto"/>
            </w:tcBorders>
          </w:tcPr>
          <w:p w:rsidR="00440E75" w:rsidRDefault="00945035">
            <w:pPr>
              <w:jc w:val="center"/>
            </w:pPr>
            <w:r w:rsidRPr="00A56293">
              <w:t>x</w:t>
            </w: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 xml:space="preserve">Surround Sound Client </w:t>
            </w:r>
          </w:p>
        </w:tc>
        <w:tc>
          <w:tcPr>
            <w:tcW w:w="1268"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080" w:type="dxa"/>
            <w:tcBorders>
              <w:top w:val="single" w:sz="4" w:space="0" w:color="auto"/>
              <w:left w:val="single" w:sz="4" w:space="0" w:color="auto"/>
              <w:bottom w:val="single" w:sz="4" w:space="0" w:color="auto"/>
              <w:right w:val="single" w:sz="4" w:space="0" w:color="auto"/>
            </w:tcBorders>
          </w:tcPr>
          <w:p w:rsidR="00440E75" w:rsidRDefault="00945035">
            <w:pPr>
              <w:jc w:val="center"/>
            </w:pP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Surround Sound Server</w:t>
            </w:r>
          </w:p>
        </w:tc>
        <w:tc>
          <w:tcPr>
            <w:tcW w:w="1268"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5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5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08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Sound Immersion Client</w:t>
            </w:r>
          </w:p>
        </w:tc>
        <w:tc>
          <w:tcPr>
            <w:tcW w:w="1268"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35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080" w:type="dxa"/>
            <w:tcBorders>
              <w:top w:val="single" w:sz="4" w:space="0" w:color="auto"/>
              <w:left w:val="single" w:sz="4" w:space="0" w:color="auto"/>
              <w:bottom w:val="single" w:sz="4" w:space="0" w:color="auto"/>
              <w:right w:val="single" w:sz="4" w:space="0" w:color="auto"/>
            </w:tcBorders>
          </w:tcPr>
          <w:p w:rsidR="00440E75" w:rsidRDefault="00945035">
            <w:pPr>
              <w:jc w:val="center"/>
            </w:pPr>
          </w:p>
        </w:tc>
      </w:tr>
      <w:tr w:rsidR="00440E75" w:rsidTr="00440E75">
        <w:trPr>
          <w:jc w:val="center"/>
        </w:trPr>
        <w:tc>
          <w:tcPr>
            <w:tcW w:w="1934" w:type="dxa"/>
            <w:tcBorders>
              <w:top w:val="single" w:sz="4" w:space="0" w:color="auto"/>
              <w:left w:val="single" w:sz="4" w:space="0" w:color="auto"/>
              <w:bottom w:val="single" w:sz="4" w:space="0" w:color="auto"/>
              <w:right w:val="single" w:sz="4" w:space="0" w:color="auto"/>
            </w:tcBorders>
            <w:hideMark/>
          </w:tcPr>
          <w:p w:rsidR="00440E75" w:rsidRDefault="00945035">
            <w:r>
              <w:t>Sound Immersion Server</w:t>
            </w:r>
          </w:p>
        </w:tc>
        <w:tc>
          <w:tcPr>
            <w:tcW w:w="1268"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83"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5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1350" w:type="dxa"/>
            <w:tcBorders>
              <w:top w:val="single" w:sz="4" w:space="0" w:color="auto"/>
              <w:left w:val="single" w:sz="4" w:space="0" w:color="auto"/>
              <w:bottom w:val="single" w:sz="4" w:space="0" w:color="auto"/>
              <w:right w:val="single" w:sz="4" w:space="0" w:color="auto"/>
            </w:tcBorders>
          </w:tcPr>
          <w:p w:rsidR="00440E75" w:rsidRDefault="00945035">
            <w:pPr>
              <w:jc w:val="center"/>
            </w:pPr>
          </w:p>
        </w:tc>
        <w:tc>
          <w:tcPr>
            <w:tcW w:w="90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c>
          <w:tcPr>
            <w:tcW w:w="1080" w:type="dxa"/>
            <w:tcBorders>
              <w:top w:val="single" w:sz="4" w:space="0" w:color="auto"/>
              <w:left w:val="single" w:sz="4" w:space="0" w:color="auto"/>
              <w:bottom w:val="single" w:sz="4" w:space="0" w:color="auto"/>
              <w:right w:val="single" w:sz="4" w:space="0" w:color="auto"/>
            </w:tcBorders>
            <w:hideMark/>
          </w:tcPr>
          <w:p w:rsidR="00440E75" w:rsidRDefault="00945035">
            <w:pPr>
              <w:jc w:val="center"/>
            </w:pPr>
            <w:r>
              <w:t>x</w:t>
            </w:r>
          </w:p>
        </w:tc>
      </w:tr>
    </w:tbl>
    <w:p w:rsidR="006E51AA" w:rsidRDefault="00945035" w:rsidP="006E51AA"/>
    <w:p w:rsidR="006E51AA" w:rsidRDefault="00945035" w:rsidP="006E51AA">
      <w:r>
        <w:t xml:space="preserve">Note: </w:t>
      </w:r>
    </w:p>
    <w:p w:rsidR="006E51AA" w:rsidRDefault="00945035" w:rsidP="00945035">
      <w:pPr>
        <w:numPr>
          <w:ilvl w:val="0"/>
          <w:numId w:val="7"/>
        </w:numPr>
      </w:pPr>
      <w:r>
        <w:t>This is not all encompassing and only includes the modules listed above.  The implementation guide class descriptions are the final say between what is the Client and Server.  This is for reference only and for any conflict with implementation guide</w:t>
      </w:r>
      <w:r>
        <w:t xml:space="preserve"> then the implementation guide will takes precedence.  Any conflicts with the SPSS then the SPSS takes precedence.  Bring any conflicts to Ford’s attention</w:t>
      </w:r>
    </w:p>
    <w:p w:rsidR="006E51AA" w:rsidRDefault="00945035" w:rsidP="00945035">
      <w:pPr>
        <w:numPr>
          <w:ilvl w:val="0"/>
          <w:numId w:val="7"/>
        </w:numPr>
      </w:pPr>
      <w:r>
        <w:lastRenderedPageBreak/>
        <w:t>The IAHU (integrated AHU) includes SYNC 4.1 and SYNC 4.2</w:t>
      </w:r>
    </w:p>
    <w:p w:rsidR="006E51AA" w:rsidRDefault="00945035" w:rsidP="00945035">
      <w:pPr>
        <w:numPr>
          <w:ilvl w:val="0"/>
          <w:numId w:val="7"/>
        </w:numPr>
      </w:pPr>
      <w:r>
        <w:t>Reference SPSS when DSP and non-DSP modules</w:t>
      </w:r>
      <w:r>
        <w:t xml:space="preserve"> are marked as a Server</w:t>
      </w:r>
    </w:p>
    <w:p w:rsidR="000A1486" w:rsidRPr="000A1486" w:rsidRDefault="00945035" w:rsidP="00945035">
      <w:pPr>
        <w:numPr>
          <w:ilvl w:val="0"/>
          <w:numId w:val="7"/>
        </w:numPr>
      </w:pPr>
      <w:r>
        <w:t>When says AHU in requirements then this applies to SYNC 4.1 and SYNC 4.2 which has an integrated AHU</w:t>
      </w:r>
    </w:p>
    <w:p w:rsidR="006E51AA" w:rsidRDefault="00945035" w:rsidP="006E51AA">
      <w:pPr>
        <w:ind w:left="360"/>
      </w:pPr>
    </w:p>
    <w:p w:rsidR="006E51AA" w:rsidRDefault="00945035" w:rsidP="006E51AA"/>
    <w:p w:rsidR="00500605" w:rsidRDefault="00945035" w:rsidP="00500605"/>
    <w:p w:rsidR="00AB1E94" w:rsidRPr="00AE06BC" w:rsidRDefault="00945035" w:rsidP="00406F39"/>
    <w:sectPr w:rsidR="00AB1E94" w:rsidRPr="00AE06BC" w:rsidSect="00505972">
      <w:headerReference w:type="default" r:id="rId7"/>
      <w:footerReference w:type="default" r:id="rId8"/>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035" w:rsidRDefault="00945035" w:rsidP="0085312A">
      <w:r>
        <w:separator/>
      </w:r>
    </w:p>
  </w:endnote>
  <w:endnote w:type="continuationSeparator" w:id="0">
    <w:p w:rsidR="00945035" w:rsidRDefault="00945035"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0D1DC3">
            <w:rPr>
              <w:b/>
              <w:smallCaps/>
              <w:noProof/>
              <w:sz w:val="16"/>
            </w:rPr>
            <w:t>UPE-SPSS_Spec_Template.docm</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505972">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505972">
            <w:rPr>
              <w:noProof/>
              <w:szCs w:val="20"/>
            </w:rPr>
            <w:t>2</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035" w:rsidRDefault="00945035" w:rsidP="0085312A">
      <w:r>
        <w:separator/>
      </w:r>
    </w:p>
  </w:footnote>
  <w:footnote w:type="continuationSeparator" w:id="0">
    <w:p w:rsidR="00945035" w:rsidRDefault="00945035"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945035" w:rsidP="000D1DC3">
    <w:pPr>
      <w:pStyle w:val="Header"/>
      <w:tabs>
        <w:tab w:val="clear" w:pos="4320"/>
        <w:tab w:val="clear" w:pos="8640"/>
        <w:tab w:val="left" w:pos="2520"/>
      </w:tabs>
    </w:pPr>
    <w:sdt>
      <w:sdtPr>
        <w:rPr>
          <w:rFonts w:cs="Arial"/>
        </w:rPr>
        <w:id w:val="62457720"/>
        <w:docPartObj>
          <w:docPartGallery w:val="Watermarks"/>
          <w:docPartUnique/>
        </w:docPartObj>
      </w:sdtPr>
      <w:sdtEndPr/>
      <w:sdtContent>
        <w:r>
          <w:rPr>
            <w:rFonts w:cs="Arial"/>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3DDD6012"/>
    <w:multiLevelType w:val="hybridMultilevel"/>
    <w:tmpl w:val="12CC7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05972"/>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45035"/>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BDE3ADA2-E697-4C75-89F6-F262F47E9002}"/>
</file>

<file path=customXml/itemProps2.xml><?xml version="1.0" encoding="utf-8"?>
<ds:datastoreItem xmlns:ds="http://schemas.openxmlformats.org/officeDocument/2006/customXml" ds:itemID="{9BEF8B2D-A6F3-489E-A635-E3B8399F4BCE}"/>
</file>

<file path=customXml/itemProps3.xml><?xml version="1.0" encoding="utf-8"?>
<ds:datastoreItem xmlns:ds="http://schemas.openxmlformats.org/officeDocument/2006/customXml" ds:itemID="{D8E2DBF4-0E61-4A12-9A1D-4AFC690858EA}"/>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Myslinski, Jason (J.S.)</cp:lastModifiedBy>
  <cp:revision>2</cp:revision>
  <dcterms:created xsi:type="dcterms:W3CDTF">2019-05-09T12:36:00Z</dcterms:created>
  <dcterms:modified xsi:type="dcterms:W3CDTF">2019-05-09T12:36:00Z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