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2A3C7" w14:textId="2C7E3F90" w:rsidR="00406F39" w:rsidRDefault="007E68C7" w:rsidP="00B9479B">
      <w:pPr>
        <w:pStyle w:val="Heading1"/>
      </w:pPr>
      <w:r w:rsidRPr="00B9479B">
        <w:t xml:space="preserve">Logical to Physical CAN signal mapping </w:t>
      </w:r>
      <w:r w:rsidR="009F4A48">
        <w:t>–</w:t>
      </w:r>
      <w:r w:rsidRPr="00B9479B">
        <w:t xml:space="preserve"> </w:t>
      </w:r>
      <w:r w:rsidR="009F4A48">
        <w:t>Auto EPB</w:t>
      </w:r>
    </w:p>
    <w:p w14:paraId="3631FDCF" w14:textId="729B7C1E" w:rsidR="00500605" w:rsidRDefault="007E68C7" w:rsidP="00500605">
      <w:pPr>
        <w:rPr>
          <w:rFonts w:cs="Arial"/>
        </w:rPr>
      </w:pPr>
      <w:r>
        <w:t xml:space="preserve">This </w:t>
      </w:r>
      <w:r w:rsidRPr="00A35AC6">
        <w:rPr>
          <w:rFonts w:cs="Arial"/>
        </w:rPr>
        <w:t xml:space="preserve">table maps the power management logical signals to the </w:t>
      </w:r>
      <w:r>
        <w:rPr>
          <w:rFonts w:cs="Arial"/>
        </w:rPr>
        <w:t>physical</w:t>
      </w:r>
      <w:r w:rsidRPr="00A35AC6">
        <w:rPr>
          <w:rFonts w:cs="Arial"/>
        </w:rPr>
        <w:t xml:space="preserve"> CAN signals.</w:t>
      </w:r>
    </w:p>
    <w:p w14:paraId="36E2B30F" w14:textId="77777777" w:rsidR="007A72E1" w:rsidRPr="007A72E1" w:rsidRDefault="00CB04B7" w:rsidP="00500605">
      <w:pPr>
        <w:rPr>
          <w:rFonts w:cs="Arial"/>
        </w:rPr>
      </w:pPr>
    </w:p>
    <w:p w14:paraId="31FC1D84" w14:textId="77777777" w:rsidR="007A72E1" w:rsidRPr="007A72E1" w:rsidRDefault="007E68C7" w:rsidP="00500605">
      <w:pPr>
        <w:rPr>
          <w:rFonts w:cs="Arial"/>
        </w:rPr>
      </w:pPr>
      <w:r w:rsidRPr="007A72E1">
        <w:rPr>
          <w:rFonts w:cs="Arial"/>
        </w:rPr>
        <w:t>Note:</w:t>
      </w:r>
      <w:r>
        <w:rPr>
          <w:rFonts w:cs="Arial"/>
        </w:rPr>
        <w:t xml:space="preserve">  This is for reference only.  I</w:t>
      </w:r>
      <w:r w:rsidRPr="007A72E1">
        <w:rPr>
          <w:rFonts w:cs="Arial"/>
        </w:rPr>
        <w:t xml:space="preserve">f there is a conflict between the </w:t>
      </w:r>
      <w:r>
        <w:rPr>
          <w:rFonts w:cs="Arial"/>
        </w:rPr>
        <w:t xml:space="preserve">name in the CAN signal name column </w:t>
      </w:r>
      <w:r w:rsidRPr="007A72E1">
        <w:rPr>
          <w:rFonts w:cs="Arial"/>
        </w:rPr>
        <w:t>and what is found in the actual CAN dB then the CAN dB takes precedent.  Please bring to Ford’s attention if there is a conflict.</w:t>
      </w:r>
    </w:p>
    <w:p w14:paraId="30052D57" w14:textId="77777777" w:rsidR="000629C5" w:rsidRPr="007A72E1" w:rsidRDefault="00CB04B7" w:rsidP="00500605">
      <w:pPr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A35AC6" w:rsidRPr="007A72E1" w14:paraId="09295076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93B05" w14:textId="77777777" w:rsidR="000629C5" w:rsidRPr="007A72E1" w:rsidRDefault="007E68C7" w:rsidP="00E751C8">
            <w:pPr>
              <w:rPr>
                <w:rFonts w:cs="Arial"/>
                <w:b/>
              </w:rPr>
            </w:pPr>
            <w:r w:rsidRPr="007A72E1">
              <w:rPr>
                <w:rFonts w:cs="Arial"/>
                <w:b/>
              </w:rPr>
              <w:t>Logical Signal Name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A158B" w14:textId="77777777" w:rsidR="000629C5" w:rsidRPr="007A72E1" w:rsidRDefault="007E68C7" w:rsidP="00E751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</w:t>
            </w:r>
            <w:r w:rsidRPr="007A72E1">
              <w:rPr>
                <w:rFonts w:cs="Arial"/>
                <w:b/>
              </w:rPr>
              <w:t xml:space="preserve"> signal name</w:t>
            </w:r>
          </w:p>
        </w:tc>
      </w:tr>
      <w:tr w:rsidR="009F4A48" w:rsidRPr="007A72E1" w14:paraId="6751AB52" w14:textId="77777777" w:rsidTr="00F8025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0085FA" w14:textId="0AF52688" w:rsidR="009F4A48" w:rsidRPr="007A72E1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LBtnDspl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2089C1" w14:textId="50748C9E" w:rsidR="009F4A48" w:rsidRPr="007A72E1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AutoEpbDsply_D_Stat</w:t>
            </w:r>
            <w:proofErr w:type="spellEnd"/>
          </w:p>
        </w:tc>
      </w:tr>
      <w:tr w:rsidR="009F4A48" w:rsidRPr="007A72E1" w14:paraId="784DB079" w14:textId="77777777" w:rsidTr="00F8025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264C72" w14:textId="1048558E" w:rsidR="009F4A48" w:rsidRPr="007A72E1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LFtSt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BA5B4F" w14:textId="1FF5384B" w:rsidR="009F4A48" w:rsidRPr="007A72E1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AutoEpbButtnOn_B_Stat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   </w:t>
            </w:r>
          </w:p>
        </w:tc>
      </w:tr>
      <w:tr w:rsidR="009F4A48" w:rsidRPr="007A72E1" w14:paraId="3ACD67C5" w14:textId="77777777" w:rsidTr="00F8025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781CCC" w14:textId="6AFCABA2" w:rsidR="009F4A48" w:rsidRPr="00E20560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LMsg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1B8517" w14:textId="1F9CBAA5" w:rsidR="009F4A48" w:rsidRPr="00E20560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AutoEpbMsgTxt_D_Rq</w:t>
            </w:r>
            <w:proofErr w:type="spellEnd"/>
          </w:p>
        </w:tc>
      </w:tr>
      <w:tr w:rsidR="009F4A48" w:rsidRPr="007A72E1" w14:paraId="2B91E2CE" w14:textId="77777777" w:rsidTr="00F8025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12D50B" w14:textId="572610CC" w:rsidR="009F4A48" w:rsidRPr="00F67954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LBtnSt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885783" w14:textId="618336D8" w:rsidR="009F4A48" w:rsidRPr="00F67954" w:rsidRDefault="009F4A48" w:rsidP="009F4A48">
            <w:pPr>
              <w:tabs>
                <w:tab w:val="left" w:pos="1590"/>
              </w:tabs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AutoEpbButtn_B_Stat</w:t>
            </w:r>
            <w:proofErr w:type="spellEnd"/>
          </w:p>
        </w:tc>
      </w:tr>
      <w:tr w:rsidR="009F4A48" w:rsidRPr="007A72E1" w14:paraId="15D3C00C" w14:textId="77777777" w:rsidTr="00F8025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B6C4BE" w14:textId="6EBB6CB0" w:rsidR="009F4A48" w:rsidRPr="00F67954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LZoomSt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A66092" w14:textId="34F6F495" w:rsidR="009F4A48" w:rsidRPr="00F67954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AutoEpbZoomView_B_Stat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</w:tr>
      <w:tr w:rsidR="000629C5" w:rsidRPr="00E53188" w14:paraId="3C896E43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00E6E" w14:textId="77777777" w:rsidR="000629C5" w:rsidRPr="00E53188" w:rsidRDefault="00CB04B7" w:rsidP="00E751C8">
            <w:pPr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6564C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4CA0593C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7D335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E9468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7554BB7E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C2B83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E1CD4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31B7F02F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9BFBE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DB64F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64B6BF7C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FBBC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75222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0A45F97C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CEFC8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7AF8A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73993FD3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0ADF0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DAA41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28B77585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2750A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0F657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66932387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44A5B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55323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19413D8B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6ECA0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09642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304CE359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2AF9F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85474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</w:tbl>
    <w:p w14:paraId="10BA94E4" w14:textId="77777777" w:rsidR="000629C5" w:rsidRDefault="00CB04B7" w:rsidP="00500605"/>
    <w:p w14:paraId="60EEB436" w14:textId="77777777" w:rsidR="00597FC0" w:rsidRPr="00AE06BC" w:rsidRDefault="00CB04B7" w:rsidP="00406F39"/>
    <w:sectPr w:rsidR="00597FC0" w:rsidRPr="00AE06BC" w:rsidSect="005E44DF">
      <w:headerReference w:type="default" r:id="rId10"/>
      <w:footerReference w:type="default" r:id="rId11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8EC13" w14:textId="77777777" w:rsidR="00CB04B7" w:rsidRDefault="00CB04B7" w:rsidP="0085312A">
      <w:r>
        <w:separator/>
      </w:r>
    </w:p>
  </w:endnote>
  <w:endnote w:type="continuationSeparator" w:id="0">
    <w:p w14:paraId="773A65F0" w14:textId="77777777" w:rsidR="00CB04B7" w:rsidRDefault="00CB04B7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14:paraId="7736AD79" w14:textId="77777777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BD3FF4C" w14:textId="77777777" w:rsidR="00583AF9" w:rsidRPr="00583AF9" w:rsidRDefault="00583AF9" w:rsidP="005E44DF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5E44DF">
            <w:t xml:space="preserve"> </w:t>
          </w:r>
          <w:r w:rsidR="0006414B">
            <w:rPr>
              <w:b/>
              <w:smallCaps/>
              <w:sz w:val="16"/>
            </w:rPr>
            <w:t>Power Management</w:t>
          </w:r>
          <w:r w:rsidR="005E44DF">
            <w:rPr>
              <w:b/>
              <w:smallCaps/>
              <w:sz w:val="16"/>
            </w:rPr>
            <w:t xml:space="preserve"> </w:t>
          </w:r>
          <w:r w:rsidR="005E44DF" w:rsidRPr="005E44DF">
            <w:rPr>
              <w:b/>
              <w:smallCaps/>
              <w:sz w:val="16"/>
            </w:rPr>
            <w:t xml:space="preserve">Logical to Physical CAN signal mapping </w:t>
          </w:r>
          <w:r w:rsidR="005E44DF">
            <w:rPr>
              <w:b/>
              <w:smallCaps/>
              <w:sz w:val="16"/>
            </w:rPr>
            <w:t>Sep</w:t>
          </w:r>
          <w:r w:rsidR="005E44DF" w:rsidRPr="005E44DF">
            <w:rPr>
              <w:b/>
              <w:smallCaps/>
              <w:sz w:val="16"/>
            </w:rPr>
            <w:t xml:space="preserve"> 6, 2018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EF5DD73" w14:textId="77777777"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14:paraId="693D729F" w14:textId="77777777"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6322B0" w14:textId="66D4160A"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9F4A4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9F4A4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14:paraId="07A9FEC2" w14:textId="77777777"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9548B" w14:textId="77777777" w:rsidR="00CB04B7" w:rsidRDefault="00CB04B7" w:rsidP="0085312A">
      <w:r>
        <w:separator/>
      </w:r>
    </w:p>
  </w:footnote>
  <w:footnote w:type="continuationSeparator" w:id="0">
    <w:p w14:paraId="40E984AD" w14:textId="77777777" w:rsidR="00CB04B7" w:rsidRDefault="00CB04B7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14:paraId="69E5A6C7" w14:textId="77777777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F46DFC" w14:textId="77777777"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zh-CN"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2C3796" w14:textId="77777777"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5D4391" w14:textId="77777777"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14:paraId="0FF5F5DC" w14:textId="77777777"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14:paraId="2A3C006D" w14:textId="7C8C6484"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741C"/>
    <w:rsid w:val="00012850"/>
    <w:rsid w:val="00051423"/>
    <w:rsid w:val="0006414B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E44DF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7E68C7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9F4A48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04B7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60C15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ED808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宋体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宋体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宋体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宋体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宋体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宋体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宋体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宋体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宋体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宋体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宋体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宋体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宋体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宋体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B3DEDE04233141A468AED40479C3CE" ma:contentTypeVersion="2" ma:contentTypeDescription="Create a new document." ma:contentTypeScope="" ma:versionID="74d3bd3918d8fb64e1807fed2dcd4445">
  <xsd:schema xmlns:xsd="http://www.w3.org/2001/XMLSchema" xmlns:xs="http://www.w3.org/2001/XMLSchema" xmlns:p="http://schemas.microsoft.com/office/2006/metadata/properties" xmlns:ns2="0d42e90f-a17e-46ab-bac7-0e5ee25dc08c" targetNamespace="http://schemas.microsoft.com/office/2006/metadata/properties" ma:root="true" ma:fieldsID="68d16c0d05d05d0bc1c3bf63386a1c33" ns2:_="">
    <xsd:import namespace="0d42e90f-a17e-46ab-bac7-0e5ee25dc0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2e90f-a17e-46ab-bac7-0e5ee25dc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8E521-B39B-4F3D-80DC-B12DC4934F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194855-A361-4DB0-B82F-5E71D976C2DA}"/>
</file>

<file path=customXml/itemProps3.xml><?xml version="1.0" encoding="utf-8"?>
<ds:datastoreItem xmlns:ds="http://schemas.openxmlformats.org/officeDocument/2006/customXml" ds:itemID="{711D6846-5EA9-4E7A-9FA7-5E6423A331A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Ding, Xiaojing (X.)</cp:lastModifiedBy>
  <cp:revision>2</cp:revision>
  <dcterms:created xsi:type="dcterms:W3CDTF">2020-05-09T04:22:00Z</dcterms:created>
  <dcterms:modified xsi:type="dcterms:W3CDTF">2020-05-09T04:22:00Z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0x01010026B3DEDE04233141A468AED40479C3CE</vt:lpwstr>
  </property>
</Properties>
</file>