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>
      <w:bookmarkStart w:id="0" w:name="_GoBack"/>
      <w:bookmarkEnd w:id="0"/>
    </w:p>
    <w:p w:rsidR="00406F39" w:rsidRDefault="008D729E" w:rsidP="00B9479B">
      <w:pPr>
        <w:pStyle w:val="Heading1"/>
      </w:pPr>
      <w:r>
        <w:lastRenderedPageBreak/>
        <w:t>MyColor Lighting for Gauge Pack (ICM) – CGEA 1.3</w:t>
      </w:r>
    </w:p>
    <w:p w:rsidR="00406F39" w:rsidRDefault="008D729E" w:rsidP="00B9479B">
      <w:pPr>
        <w:pStyle w:val="Heading2"/>
      </w:pPr>
      <w:r>
        <w:t>Functional Description</w:t>
      </w:r>
    </w:p>
    <w:p w:rsidR="006E4A26" w:rsidRDefault="008D729E"/>
    <w:p w:rsidR="003E2D68" w:rsidRDefault="008D729E" w:rsidP="00620D7E">
      <w:pPr>
        <w:ind w:left="864"/>
      </w:pPr>
      <w:r>
        <w:t>This feature is only applicable to Ford Mustang variants.</w:t>
      </w:r>
    </w:p>
    <w:p w:rsidR="003E2D68" w:rsidRDefault="008D729E" w:rsidP="00620D7E">
      <w:pPr>
        <w:ind w:left="864"/>
      </w:pPr>
    </w:p>
    <w:p w:rsidR="005517A0" w:rsidRDefault="008D729E" w:rsidP="00620D7E">
      <w:pPr>
        <w:ind w:left="864"/>
      </w:pPr>
      <w:r>
        <w:t xml:space="preserve">The external Gauge Pack (ICM) gauge color matches the instrument cluster (IPC) gauge color under most circumstances.  </w:t>
      </w:r>
      <w:r>
        <w:t xml:space="preserve">The </w:t>
      </w:r>
      <w:r>
        <w:t>Gauge Pack</w:t>
      </w:r>
      <w:r>
        <w:t xml:space="preserve"> uses CAN signals</w:t>
      </w:r>
      <w:r>
        <w:t xml:space="preserve"> </w:t>
      </w:r>
      <w:r>
        <w:t>comma</w:t>
      </w:r>
      <w:r>
        <w:t xml:space="preserve">nded </w:t>
      </w:r>
      <w:r>
        <w:t>from the instrument clu</w:t>
      </w:r>
      <w:r>
        <w:t xml:space="preserve">ster to select either 1 of the </w:t>
      </w:r>
      <w:r>
        <w:rPr>
          <w:highlight w:val="green"/>
        </w:rPr>
        <w:t>8</w:t>
      </w:r>
      <w:r>
        <w:t xml:space="preserve"> pre-defined colors, or</w:t>
      </w:r>
      <w:r>
        <w:t xml:space="preserve"> to </w:t>
      </w:r>
      <w:r>
        <w:t xml:space="preserve">acquire the values for 1 of the </w:t>
      </w:r>
      <w:r>
        <w:t>125 custom colors</w:t>
      </w:r>
      <w:r>
        <w:t xml:space="preserve"> (MyColor).  The MyColor is</w:t>
      </w:r>
      <w:r>
        <w:t xml:space="preserve"> based on 5 levels each of RGB</w:t>
      </w:r>
      <w:r>
        <w:t>.</w:t>
      </w:r>
    </w:p>
    <w:p w:rsidR="005517A0" w:rsidRDefault="008D729E" w:rsidP="00620D7E">
      <w:pPr>
        <w:ind w:left="864"/>
      </w:pPr>
    </w:p>
    <w:p w:rsidR="006E4A26" w:rsidRDefault="008D729E" w:rsidP="00620D7E">
      <w:pPr>
        <w:ind w:left="864"/>
      </w:pPr>
      <w:r>
        <w:t xml:space="preserve">The Gauge Pack only has a gauge color that is displayed when in nighttime dimming mode.  (The instrument cluster also has Halo color).  </w:t>
      </w:r>
      <w:r w:rsidRPr="00F1229D">
        <w:rPr>
          <w:highlight w:val="yellow"/>
        </w:rPr>
        <w:t>MyColor illumination shall only be shown during nighttime, determine</w:t>
      </w:r>
      <w:r>
        <w:rPr>
          <w:highlight w:val="yellow"/>
        </w:rPr>
        <w:t>d by CAN signal Dimming_Lvl</w:t>
      </w:r>
      <w:r>
        <w:rPr>
          <w:highlight w:val="yellow"/>
        </w:rPr>
        <w:t>.</w:t>
      </w:r>
      <w:r>
        <w:t xml:space="preserve"> </w:t>
      </w:r>
      <w:r>
        <w:t>The Gauge Pack gauge co</w:t>
      </w:r>
      <w:r>
        <w:t>lor will match the instrument cluster gauge color UNLESS the instrument cluster is in the Warning Red state.</w:t>
      </w:r>
      <w:r>
        <w:t xml:space="preserve">  The Red Warning state does NOT apply to the Gauge Pack.</w:t>
      </w:r>
      <w:r>
        <w:br/>
      </w:r>
    </w:p>
    <w:p w:rsidR="00406F39" w:rsidRDefault="008D729E" w:rsidP="00B9479B">
      <w:pPr>
        <w:pStyle w:val="Heading2"/>
      </w:pPr>
      <w:r>
        <w:t>Interfaces</w:t>
      </w:r>
    </w:p>
    <w:p w:rsidR="00406F39" w:rsidRDefault="008D729E" w:rsidP="00B9479B">
      <w:pPr>
        <w:pStyle w:val="Heading3"/>
      </w:pPr>
      <w:r>
        <w:t>Interface Context Diagram (I/O Block Diagram)</w:t>
      </w:r>
    </w:p>
    <w:p w:rsidR="00BD7D2E" w:rsidRPr="00431084" w:rsidRDefault="008D729E" w:rsidP="00431084"/>
    <w:p w:rsidR="00145783" w:rsidRPr="00AA566C" w:rsidRDefault="008D729E" w:rsidP="006E4A26">
      <w:pPr>
        <w:jc w:val="center"/>
        <w:rPr>
          <w:rFonts w:cs="Arial"/>
          <w:b/>
        </w:rPr>
      </w:pPr>
      <w:r w:rsidRPr="00AA566C">
        <w:rPr>
          <w:rFonts w:cs="Arial"/>
          <w:b/>
        </w:rPr>
        <w:t>Gauge Pack Color Lighting Function Context Diagram</w:t>
      </w:r>
    </w:p>
    <w:p w:rsidR="00AA566C" w:rsidRDefault="008D729E" w:rsidP="006E4A26">
      <w:pPr>
        <w:jc w:val="center"/>
      </w:pPr>
    </w:p>
    <w:p w:rsidR="00BD7D2E" w:rsidRDefault="00DA1E11" w:rsidP="00DA1E11">
      <w:pPr>
        <w:jc w:val="center"/>
      </w:pPr>
      <w:r>
        <w:object w:dxaOrig="7186" w:dyaOrig="2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c7811640000a92100007032" o:spid="_x0000_i1025" type="#_x0000_t75" style="width:450pt;height:178.5pt" o:ole="">
            <v:imagedata r:id="rId7" o:title=""/>
          </v:shape>
          <o:OLEObject Type="Embed" ProgID="Visio.Drawing.11" ShapeID="5c7811640000a92100007032" DrawAspect="Content" ObjectID="_1612859891" r:id="rId8"/>
        </w:object>
      </w:r>
    </w:p>
    <w:p w:rsidR="008C4256" w:rsidRPr="00AA566C" w:rsidRDefault="008D729E" w:rsidP="00AA566C"/>
    <w:p w:rsidR="00406F39" w:rsidRDefault="008D729E" w:rsidP="00B9479B">
      <w:pPr>
        <w:pStyle w:val="Heading3"/>
      </w:pPr>
      <w:r>
        <w:t>Inputs</w:t>
      </w:r>
    </w:p>
    <w:p w:rsidR="00DA1E11" w:rsidRPr="00DA1E11" w:rsidRDefault="00DA1E11" w:rsidP="00B9479B">
      <w:pPr>
        <w:pStyle w:val="Heading4"/>
        <w:rPr>
          <w:b w:val="0"/>
          <w:u w:val="single"/>
        </w:rPr>
      </w:pPr>
      <w:r w:rsidRPr="00DA1E11">
        <w:rPr>
          <w:b w:val="0"/>
          <w:u w:val="single"/>
        </w:rPr>
        <w:t>IR-REQ-345875/A-INTERNAL:</w:t>
      </w:r>
    </w:p>
    <w:p w:rsidR="005C6C18" w:rsidRDefault="008D729E" w:rsidP="008D729E">
      <w:pPr>
        <w:numPr>
          <w:ilvl w:val="0"/>
          <w:numId w:val="7"/>
        </w:numPr>
        <w:tabs>
          <w:tab w:val="clear" w:pos="2520"/>
          <w:tab w:val="num" w:pos="2160"/>
        </w:tabs>
        <w:ind w:left="1800"/>
        <w:rPr>
          <w:rFonts w:cs="Arial"/>
        </w:rPr>
      </w:pPr>
      <w:r>
        <w:rPr>
          <w:rFonts w:cs="Arial"/>
        </w:rPr>
        <w:t>Operational_Mode</w:t>
      </w:r>
    </w:p>
    <w:p w:rsidR="005C6C18" w:rsidRDefault="008D729E" w:rsidP="00BD76EE">
      <w:pPr>
        <w:ind w:left="2520"/>
        <w:rPr>
          <w:rFonts w:cs="Arial"/>
        </w:rPr>
      </w:pPr>
    </w:p>
    <w:p w:rsidR="006C5D59" w:rsidRDefault="008D729E" w:rsidP="00BD76EE">
      <w:pPr>
        <w:ind w:left="2520"/>
        <w:rPr>
          <w:rFonts w:cs="Arial"/>
        </w:rPr>
      </w:pPr>
    </w:p>
    <w:p w:rsidR="006C5D59" w:rsidRDefault="008D729E" w:rsidP="00BD76EE">
      <w:pPr>
        <w:ind w:left="2520"/>
        <w:rPr>
          <w:rFonts w:cs="Arial"/>
        </w:rPr>
      </w:pPr>
    </w:p>
    <w:p w:rsidR="006C5D59" w:rsidRDefault="008D729E" w:rsidP="00BD76EE">
      <w:pPr>
        <w:ind w:left="2520"/>
        <w:rPr>
          <w:rFonts w:cs="Arial"/>
        </w:rPr>
      </w:pPr>
    </w:p>
    <w:p w:rsidR="006C5D59" w:rsidRDefault="008D729E" w:rsidP="00BD76EE">
      <w:pPr>
        <w:ind w:left="2520"/>
        <w:rPr>
          <w:rFonts w:cs="Arial"/>
        </w:rPr>
      </w:pPr>
    </w:p>
    <w:p w:rsidR="006C5D59" w:rsidRDefault="008D729E" w:rsidP="00BD76EE">
      <w:pPr>
        <w:ind w:left="2520"/>
        <w:rPr>
          <w:rFonts w:cs="Arial"/>
        </w:rPr>
      </w:pPr>
    </w:p>
    <w:p w:rsidR="006C5D59" w:rsidRDefault="008D729E" w:rsidP="00BD76EE">
      <w:pPr>
        <w:ind w:left="2520"/>
        <w:rPr>
          <w:rFonts w:cs="Arial"/>
        </w:rPr>
      </w:pPr>
    </w:p>
    <w:p w:rsidR="006C5D59" w:rsidRDefault="008D729E" w:rsidP="00BD76EE">
      <w:pPr>
        <w:ind w:left="2520"/>
        <w:rPr>
          <w:rFonts w:cs="Arial"/>
        </w:rPr>
      </w:pPr>
    </w:p>
    <w:p w:rsidR="006C5D59" w:rsidRDefault="008D729E" w:rsidP="00BD76EE">
      <w:pPr>
        <w:ind w:left="2520"/>
        <w:rPr>
          <w:rFonts w:cs="Arial"/>
        </w:rPr>
      </w:pPr>
    </w:p>
    <w:p w:rsidR="006C5D59" w:rsidRDefault="008D729E" w:rsidP="00BD76EE">
      <w:pPr>
        <w:ind w:left="2520"/>
        <w:rPr>
          <w:rFonts w:cs="Arial"/>
        </w:rPr>
      </w:pPr>
    </w:p>
    <w:p w:rsidR="00406F39" w:rsidRDefault="008D729E" w:rsidP="00B9479B">
      <w:pPr>
        <w:pStyle w:val="Heading4"/>
      </w:pPr>
      <w:r>
        <w:lastRenderedPageBreak/>
        <w:t>MUX signals on the CAN Bus</w:t>
      </w:r>
    </w:p>
    <w:p w:rsidR="00406F39" w:rsidRDefault="008D729E" w:rsidP="00B9479B">
      <w:pPr>
        <w:pStyle w:val="Heading5"/>
      </w:pPr>
      <w:r w:rsidRPr="00B9479B">
        <w:t>SIG-REQ-345865/A-CurrentColor_CmdGage Signal</w:t>
      </w:r>
    </w:p>
    <w:p w:rsidR="00AE06BC" w:rsidRPr="00AE06BC" w:rsidRDefault="008D729E" w:rsidP="00AE06BC"/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3"/>
        <w:gridCol w:w="787"/>
        <w:gridCol w:w="1800"/>
        <w:gridCol w:w="810"/>
        <w:gridCol w:w="720"/>
        <w:gridCol w:w="900"/>
        <w:gridCol w:w="1170"/>
        <w:gridCol w:w="743"/>
        <w:gridCol w:w="787"/>
      </w:tblGrid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Signal Name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Size</w:t>
            </w:r>
          </w:p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(bits)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Detail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Res.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Offset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State Encoded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Min.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Max.</w:t>
            </w: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CurrentColor_CmdGage</w:t>
            </w:r>
          </w:p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SED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15</w:t>
            </w: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Off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Color1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Color2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Color3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0x</w:t>
            </w:r>
            <w:r w:rsidRPr="00390097">
              <w:rPr>
                <w:rFonts w:ascii="Calibri" w:hAnsi="Calibri"/>
                <w:color w:val="000000"/>
                <w:szCs w:val="22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Color4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Color5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Color6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Color7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816EBD">
              <w:rPr>
                <w:rFonts w:ascii="Calibri" w:hAnsi="Calibri"/>
                <w:color w:val="000000"/>
                <w:szCs w:val="22"/>
                <w:highlight w:val="green"/>
              </w:rPr>
              <w:t>Color8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NotUsed2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NotUsed3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NotUsed4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0xC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NotUsed5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0xD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NotUsed6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rFonts w:cs="Arial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NotUsed7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0xF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jc w:val="center"/>
              <w:rPr>
                <w:rFonts w:cs="Arial"/>
              </w:rPr>
            </w:pPr>
          </w:p>
        </w:tc>
      </w:tr>
    </w:tbl>
    <w:p w:rsidR="00F418E0" w:rsidRPr="00390097" w:rsidRDefault="008D729E" w:rsidP="009D062B">
      <w:pPr>
        <w:rPr>
          <w:rFonts w:cs="Arial"/>
        </w:rPr>
      </w:pPr>
    </w:p>
    <w:p w:rsidR="00406F39" w:rsidRDefault="008D729E" w:rsidP="00B9479B">
      <w:pPr>
        <w:pStyle w:val="Heading5"/>
      </w:pPr>
      <w:r w:rsidRPr="00B9479B">
        <w:t>SIG-REQ-345866/A-BlendColorRed_CmdGage Signal</w:t>
      </w:r>
    </w:p>
    <w:p w:rsidR="00AE06BC" w:rsidRPr="00AE06BC" w:rsidRDefault="008D729E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3"/>
        <w:gridCol w:w="720"/>
        <w:gridCol w:w="1710"/>
        <w:gridCol w:w="900"/>
        <w:gridCol w:w="720"/>
        <w:gridCol w:w="810"/>
        <w:gridCol w:w="1170"/>
        <w:gridCol w:w="900"/>
        <w:gridCol w:w="1080"/>
      </w:tblGrid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Signal 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Size</w:t>
            </w:r>
          </w:p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(bits)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Detail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Res.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Offset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State Encoded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Min.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Max.</w:t>
            </w: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BlendColorRed_CmdGage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418E0" w:rsidRPr="00390097" w:rsidRDefault="008D729E" w:rsidP="00F418E0">
      <w:pPr>
        <w:rPr>
          <w:rFonts w:cs="Arial"/>
        </w:rPr>
      </w:pPr>
    </w:p>
    <w:p w:rsidR="00F418E0" w:rsidRDefault="008D729E" w:rsidP="00F418E0"/>
    <w:p w:rsidR="00406F39" w:rsidRDefault="008D729E" w:rsidP="00B9479B">
      <w:pPr>
        <w:pStyle w:val="Heading5"/>
      </w:pPr>
      <w:r w:rsidRPr="00B9479B">
        <w:lastRenderedPageBreak/>
        <w:t>SIG-REQ-345867/A-BlendColorBlue_CmdGage Signal</w:t>
      </w:r>
    </w:p>
    <w:p w:rsidR="00AE06BC" w:rsidRPr="00AE06BC" w:rsidRDefault="008D729E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3"/>
        <w:gridCol w:w="720"/>
        <w:gridCol w:w="1710"/>
        <w:gridCol w:w="900"/>
        <w:gridCol w:w="720"/>
        <w:gridCol w:w="810"/>
        <w:gridCol w:w="1170"/>
        <w:gridCol w:w="900"/>
        <w:gridCol w:w="1080"/>
      </w:tblGrid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Signal 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Size</w:t>
            </w:r>
          </w:p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(bits)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Detail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Res.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Offset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State Encoded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Min.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Max.</w:t>
            </w: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BlendColorBlue_CmdGage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418E0" w:rsidRPr="00390097" w:rsidRDefault="008D729E" w:rsidP="00F418E0">
      <w:pPr>
        <w:rPr>
          <w:rFonts w:cs="Arial"/>
        </w:rPr>
      </w:pPr>
    </w:p>
    <w:p w:rsidR="00406F39" w:rsidRDefault="008D729E" w:rsidP="00B9479B">
      <w:pPr>
        <w:pStyle w:val="Heading5"/>
      </w:pPr>
      <w:r w:rsidRPr="00B9479B">
        <w:t>SIG-REQ-345868/A-BlendColorGrn_CmdGage Signal</w:t>
      </w:r>
    </w:p>
    <w:p w:rsidR="00AE06BC" w:rsidRPr="00AE06BC" w:rsidRDefault="008D729E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0"/>
        <w:gridCol w:w="1710"/>
        <w:gridCol w:w="900"/>
        <w:gridCol w:w="720"/>
        <w:gridCol w:w="810"/>
        <w:gridCol w:w="1170"/>
        <w:gridCol w:w="900"/>
        <w:gridCol w:w="1080"/>
      </w:tblGrid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Signal 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Size</w:t>
            </w:r>
          </w:p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(bits)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Detail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Res.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Offset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State Encoded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Min.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8E0" w:rsidRPr="00390097" w:rsidRDefault="008D729E" w:rsidP="000645AC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Max.</w:t>
            </w: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BlendColorGrn_CmdGage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_5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418E0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NotUsed10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keepNext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0097">
              <w:rPr>
                <w:rFonts w:ascii="Calibri" w:hAnsi="Calibri"/>
                <w:color w:val="000000"/>
                <w:sz w:val="22"/>
                <w:szCs w:val="22"/>
              </w:rPr>
              <w:t>0xF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418E0" w:rsidRPr="00390097" w:rsidRDefault="008D729E" w:rsidP="000645A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418E0" w:rsidRDefault="008D729E" w:rsidP="00F418E0">
      <w:pPr>
        <w:rPr>
          <w:rFonts w:cs="Arial"/>
        </w:rPr>
      </w:pPr>
    </w:p>
    <w:p w:rsidR="007055AF" w:rsidRDefault="008D729E" w:rsidP="00F418E0">
      <w:pPr>
        <w:rPr>
          <w:rFonts w:cs="Arial"/>
        </w:rPr>
      </w:pPr>
    </w:p>
    <w:p w:rsidR="00406F39" w:rsidRDefault="008D729E" w:rsidP="00B9479B">
      <w:pPr>
        <w:pStyle w:val="Heading5"/>
      </w:pPr>
      <w:r w:rsidRPr="00B9479B">
        <w:lastRenderedPageBreak/>
        <w:t>SIG-REQ-345869/A-Dimming_Lvl Signal</w:t>
      </w:r>
    </w:p>
    <w:p w:rsidR="00AE06BC" w:rsidRPr="00AE06BC" w:rsidRDefault="008D729E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0"/>
        <w:gridCol w:w="1710"/>
        <w:gridCol w:w="900"/>
        <w:gridCol w:w="720"/>
        <w:gridCol w:w="810"/>
        <w:gridCol w:w="1170"/>
        <w:gridCol w:w="900"/>
        <w:gridCol w:w="1080"/>
      </w:tblGrid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Signal 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Size</w:t>
            </w:r>
          </w:p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(bits)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Detail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Res.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Offset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State Encoded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Min.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6EE" w:rsidRPr="00390097" w:rsidRDefault="008D729E" w:rsidP="00BB793A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Max.</w:t>
            </w: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Dimming_Lvl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SED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253</w:t>
            </w: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Off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Night_12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Day_1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Day_2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Day_3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Day_4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Day_5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Day_6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Unknown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0xFE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D76EE" w:rsidRPr="00390097" w:rsidTr="00DA1E11">
        <w:trPr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Invalid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EE" w:rsidRPr="00390097" w:rsidRDefault="008D729E" w:rsidP="00BB793A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BD76EE" w:rsidRPr="00390097" w:rsidRDefault="008D729E" w:rsidP="00C131D8">
      <w:pPr>
        <w:rPr>
          <w:rFonts w:cs="Arial"/>
        </w:rPr>
      </w:pPr>
    </w:p>
    <w:p w:rsidR="00406F39" w:rsidRDefault="008D729E" w:rsidP="00B9479B">
      <w:pPr>
        <w:pStyle w:val="Heading5"/>
      </w:pPr>
      <w:r w:rsidRPr="00B9479B">
        <w:t>SIG-REQ-345864/A-BlendedColor_CmdGage Signal</w:t>
      </w:r>
    </w:p>
    <w:p w:rsidR="00AE06BC" w:rsidRPr="00AE06BC" w:rsidRDefault="008D729E" w:rsidP="00AE06BC"/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0"/>
        <w:gridCol w:w="1800"/>
        <w:gridCol w:w="810"/>
        <w:gridCol w:w="720"/>
        <w:gridCol w:w="900"/>
        <w:gridCol w:w="1350"/>
        <w:gridCol w:w="720"/>
        <w:gridCol w:w="720"/>
      </w:tblGrid>
      <w:tr w:rsidR="00F84733" w:rsidRPr="00390097" w:rsidTr="00DA1E11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Signal Name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Size</w:t>
            </w:r>
          </w:p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(bits)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Detail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Res.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Offset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State Encoded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Min.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733" w:rsidRPr="00390097" w:rsidRDefault="008D729E" w:rsidP="00E514D7">
            <w:pPr>
              <w:keepNext/>
              <w:jc w:val="center"/>
              <w:rPr>
                <w:b/>
              </w:rPr>
            </w:pPr>
            <w:r w:rsidRPr="00390097">
              <w:rPr>
                <w:b/>
              </w:rPr>
              <w:t>Max.</w:t>
            </w:r>
          </w:p>
        </w:tc>
      </w:tr>
      <w:tr w:rsidR="00F84733" w:rsidRPr="00390097" w:rsidTr="00DA1E11">
        <w:trPr>
          <w:cantSplit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BlendedColor_CmdGage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SED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3</w:t>
            </w:r>
          </w:p>
        </w:tc>
      </w:tr>
      <w:tr w:rsidR="00F84733" w:rsidRPr="00390097" w:rsidTr="00DA1E11">
        <w:trPr>
          <w:cantSplit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Off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F84733" w:rsidRPr="00390097" w:rsidTr="00DA1E11">
        <w:trPr>
          <w:cantSplit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F84733" w:rsidRPr="00390097" w:rsidTr="00DA1E11">
        <w:trPr>
          <w:cantSplit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F84733" w:rsidRPr="00390097" w:rsidTr="00DA1E11">
        <w:trPr>
          <w:cantSplit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NotUsed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keepNext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90097">
              <w:rPr>
                <w:rFonts w:ascii="Calibri" w:hAnsi="Calibri"/>
                <w:color w:val="000000"/>
                <w:szCs w:val="22"/>
              </w:rPr>
              <w:t>0x3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4733" w:rsidRPr="00390097" w:rsidRDefault="008D729E" w:rsidP="00E514D7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261935" w:rsidRDefault="008D729E" w:rsidP="00515B11">
      <w:pPr>
        <w:ind w:left="1080"/>
        <w:rPr>
          <w:lang w:val="de-DE"/>
        </w:rPr>
      </w:pPr>
    </w:p>
    <w:p w:rsidR="00DA1E11" w:rsidRPr="00DA1E11" w:rsidRDefault="00DA1E11" w:rsidP="00B9479B">
      <w:pPr>
        <w:pStyle w:val="Heading3"/>
        <w:rPr>
          <w:b w:val="0"/>
          <w:u w:val="single"/>
        </w:rPr>
      </w:pPr>
      <w:r w:rsidRPr="00DA1E11">
        <w:rPr>
          <w:b w:val="0"/>
          <w:u w:val="single"/>
        </w:rPr>
        <w:t>IR-REQ-345877/A-Outputs</w:t>
      </w:r>
    </w:p>
    <w:p w:rsidR="00D96A07" w:rsidRDefault="008D729E" w:rsidP="008D729E">
      <w:pPr>
        <w:numPr>
          <w:ilvl w:val="0"/>
          <w:numId w:val="8"/>
        </w:numPr>
        <w:ind w:left="1728"/>
        <w:rPr>
          <w:rFonts w:cs="Arial"/>
        </w:rPr>
      </w:pPr>
      <w:r>
        <w:rPr>
          <w:rFonts w:cs="Arial"/>
        </w:rPr>
        <w:t>Gauge_Color  (Color of Gauge Pack back lighting during nighttime dimming)</w:t>
      </w:r>
    </w:p>
    <w:p w:rsidR="00EE13EF" w:rsidRDefault="008D729E" w:rsidP="00EE13EF">
      <w:pPr>
        <w:rPr>
          <w:rFonts w:cs="Arial"/>
        </w:rPr>
      </w:pPr>
    </w:p>
    <w:p w:rsidR="00406F39" w:rsidRDefault="008D729E" w:rsidP="00B9479B">
      <w:pPr>
        <w:pStyle w:val="Heading2"/>
      </w:pPr>
      <w:r>
        <w:t>Function/Performance</w:t>
      </w:r>
    </w:p>
    <w:p w:rsidR="00406F39" w:rsidRDefault="008D729E" w:rsidP="00B9479B">
      <w:pPr>
        <w:pStyle w:val="Heading3"/>
      </w:pPr>
      <w:r w:rsidRPr="00B9479B">
        <w:t>F-REQ-345878/A-Operational Modes</w:t>
      </w:r>
    </w:p>
    <w:p w:rsidR="006E4A26" w:rsidRDefault="008D729E">
      <w:pPr>
        <w:ind w:left="108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2"/>
        <w:gridCol w:w="3428"/>
      </w:tblGrid>
      <w:tr w:rsidR="006E4A26" w:rsidTr="00CD2B81">
        <w:trPr>
          <w:trHeight w:val="3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26" w:rsidRDefault="008D729E" w:rsidP="00CD2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26" w:rsidRDefault="008D729E" w:rsidP="00CD2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Differentiating Vehicle Conditions</w:t>
            </w:r>
          </w:p>
        </w:tc>
      </w:tr>
      <w:tr w:rsidR="006E4A26" w:rsidTr="00CD2B8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26" w:rsidRDefault="008D729E" w:rsidP="00CD2B81">
            <w:pPr>
              <w:jc w:val="center"/>
            </w:pPr>
            <w:r>
              <w:t>Sleep 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26" w:rsidRDefault="008D729E" w:rsidP="00CD2B81">
            <w:pPr>
              <w:jc w:val="center"/>
            </w:pPr>
            <w:r>
              <w:t>Disabled</w:t>
            </w:r>
          </w:p>
        </w:tc>
      </w:tr>
      <w:tr w:rsidR="006E4A26" w:rsidTr="00CD2B8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26" w:rsidRDefault="008D729E" w:rsidP="00CD2B81">
            <w:pPr>
              <w:jc w:val="center"/>
            </w:pPr>
            <w:r>
              <w:t>Limiting 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26" w:rsidRDefault="008D729E" w:rsidP="00CD2B81">
            <w:pPr>
              <w:jc w:val="center"/>
            </w:pPr>
            <w:bookmarkStart w:id="1" w:name="_Ref44228437"/>
            <w:r>
              <w:t>Disabled</w:t>
            </w:r>
            <w:bookmarkEnd w:id="1"/>
          </w:p>
        </w:tc>
      </w:tr>
      <w:tr w:rsidR="006E4A26" w:rsidTr="00CD2B8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26" w:rsidRDefault="008D729E" w:rsidP="00CD2B81">
            <w:pPr>
              <w:jc w:val="center"/>
            </w:pPr>
            <w:r>
              <w:t>Normal 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26" w:rsidRDefault="008D729E" w:rsidP="00CD2B81">
            <w:pPr>
              <w:jc w:val="center"/>
            </w:pPr>
            <w:r>
              <w:t>Enabled / Disabled</w:t>
            </w:r>
          </w:p>
        </w:tc>
      </w:tr>
      <w:tr w:rsidR="00CD2B81" w:rsidTr="00CD2B8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B81" w:rsidRDefault="008D729E" w:rsidP="00CD2B81">
            <w:pPr>
              <w:jc w:val="center"/>
            </w:pPr>
            <w:r>
              <w:t>Crank Mode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B81" w:rsidRDefault="008D729E" w:rsidP="00CD2B81">
            <w:pPr>
              <w:jc w:val="center"/>
            </w:pPr>
            <w:r>
              <w:t>Enabled / Disabled</w:t>
            </w:r>
          </w:p>
        </w:tc>
      </w:tr>
    </w:tbl>
    <w:p w:rsidR="006E4A26" w:rsidRDefault="008D729E" w:rsidP="00A57C37">
      <w:pPr>
        <w:ind w:left="1080"/>
        <w:rPr>
          <w:rFonts w:cs="Arial"/>
        </w:rPr>
      </w:pPr>
    </w:p>
    <w:p w:rsidR="00406F39" w:rsidRDefault="008D729E" w:rsidP="00B9479B">
      <w:pPr>
        <w:pStyle w:val="Heading3"/>
      </w:pPr>
      <w:r>
        <w:lastRenderedPageBreak/>
        <w:t>Voltage Levels</w:t>
      </w:r>
    </w:p>
    <w:p w:rsidR="006E4A26" w:rsidRDefault="008D729E">
      <w:pPr>
        <w:ind w:left="1368"/>
      </w:pPr>
      <w:r>
        <w:t>Refer to the Cluster Features table located in the Operational Modes and Voltage Range Strategies Section in this SPSS.</w:t>
      </w:r>
    </w:p>
    <w:p w:rsidR="00406F39" w:rsidRDefault="008D729E" w:rsidP="00B9479B">
      <w:pPr>
        <w:pStyle w:val="Heading3"/>
      </w:pPr>
      <w:r>
        <w:t>Human-Machine Interface</w:t>
      </w:r>
    </w:p>
    <w:p w:rsidR="00406F39" w:rsidRDefault="008D729E" w:rsidP="00B9479B">
      <w:pPr>
        <w:pStyle w:val="Heading4"/>
      </w:pPr>
      <w:r>
        <w:t>Visual</w:t>
      </w:r>
    </w:p>
    <w:p w:rsidR="00406F39" w:rsidRDefault="008D729E" w:rsidP="00B9479B">
      <w:pPr>
        <w:pStyle w:val="Heading4"/>
      </w:pPr>
      <w:r>
        <w:t>Indicator Graphics / Display Format</w:t>
      </w:r>
    </w:p>
    <w:p w:rsidR="00991C4C" w:rsidRDefault="008D729E" w:rsidP="00F84733">
      <w:pPr>
        <w:ind w:left="1440"/>
        <w:rPr>
          <w:rFonts w:cs="Arial"/>
        </w:rPr>
      </w:pPr>
      <w:r>
        <w:rPr>
          <w:rFonts w:cs="Arial"/>
        </w:rPr>
        <w:t>Refer to program specific display library for related messages.</w:t>
      </w:r>
    </w:p>
    <w:p w:rsidR="00406F39" w:rsidRDefault="008D729E" w:rsidP="00B9479B">
      <w:pPr>
        <w:pStyle w:val="Heading5"/>
      </w:pPr>
      <w:r>
        <w:t>Indicator Color Coordinates</w:t>
      </w:r>
    </w:p>
    <w:p w:rsidR="006E4A26" w:rsidRPr="0069561A" w:rsidRDefault="008D729E" w:rsidP="0069561A">
      <w:pPr>
        <w:ind w:left="1440"/>
      </w:pPr>
      <w:r>
        <w:t>Reference MyColor REQUIREMENTS</w:t>
      </w:r>
    </w:p>
    <w:p w:rsidR="00406F39" w:rsidRDefault="008D729E" w:rsidP="00B9479B">
      <w:pPr>
        <w:pStyle w:val="Heading5"/>
      </w:pPr>
      <w:r>
        <w:t>Indicator Char</w:t>
      </w:r>
      <w:r>
        <w:t>acteristics</w:t>
      </w:r>
    </w:p>
    <w:p w:rsidR="00406F39" w:rsidRDefault="008D729E" w:rsidP="00B9479B">
      <w:pPr>
        <w:pStyle w:val="Heading4"/>
      </w:pPr>
      <w:r>
        <w:t>Audio</w:t>
      </w:r>
    </w:p>
    <w:p w:rsidR="006E4A26" w:rsidRDefault="008D729E">
      <w:pPr>
        <w:ind w:left="1440"/>
      </w:pPr>
      <w:r>
        <w:t>None</w:t>
      </w:r>
    </w:p>
    <w:p w:rsidR="00406F39" w:rsidRDefault="008D729E" w:rsidP="00B9479B">
      <w:pPr>
        <w:pStyle w:val="Heading4"/>
      </w:pPr>
      <w:r>
        <w:t>Switch Control Logic</w:t>
      </w:r>
    </w:p>
    <w:p w:rsidR="006E4A26" w:rsidRDefault="008D729E" w:rsidP="00F84733">
      <w:pPr>
        <w:ind w:left="1440"/>
      </w:pPr>
      <w:r>
        <w:t>None</w:t>
      </w:r>
    </w:p>
    <w:p w:rsidR="00DA1E11" w:rsidRPr="00DA1E11" w:rsidRDefault="00DA1E11" w:rsidP="00B9479B">
      <w:pPr>
        <w:pStyle w:val="Heading3"/>
        <w:rPr>
          <w:b w:val="0"/>
          <w:u w:val="single"/>
        </w:rPr>
      </w:pPr>
      <w:r w:rsidRPr="00DA1E11">
        <w:rPr>
          <w:b w:val="0"/>
          <w:u w:val="single"/>
        </w:rPr>
        <w:t>PFM-REQ-345879/A-System Accuracy</w:t>
      </w:r>
    </w:p>
    <w:p w:rsidR="006E4A26" w:rsidRDefault="008D729E">
      <w:pPr>
        <w:ind w:left="1440"/>
      </w:pPr>
      <w:r>
        <w:t>Within a 100msec of receiving a message that results in a change of state the cluster will update the display to the proper status.</w:t>
      </w: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177989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393D9A" w:rsidRDefault="008D729E">
      <w:pPr>
        <w:ind w:left="1440"/>
      </w:pPr>
    </w:p>
    <w:p w:rsidR="00406F39" w:rsidRDefault="008D729E" w:rsidP="00B9479B">
      <w:pPr>
        <w:pStyle w:val="Heading3"/>
      </w:pPr>
      <w:r>
        <w:lastRenderedPageBreak/>
        <w:t>Operation: Performance and Functional</w:t>
      </w:r>
    </w:p>
    <w:p w:rsidR="00406F39" w:rsidRDefault="008D729E" w:rsidP="00B9479B">
      <w:pPr>
        <w:pStyle w:val="Heading4"/>
      </w:pPr>
      <w:r>
        <w:t>Subsystem Algorithm Flowchart / State Diagram</w:t>
      </w:r>
    </w:p>
    <w:p w:rsidR="00406F39" w:rsidRDefault="008D729E" w:rsidP="00B9479B">
      <w:pPr>
        <w:pStyle w:val="Heading5"/>
      </w:pPr>
      <w:r>
        <w:t>Option_Che</w:t>
      </w:r>
      <w:r>
        <w:t>ck MyColor Diagnostic Configuration Flowcharts</w:t>
      </w:r>
    </w:p>
    <w:p w:rsidR="000C5D7C" w:rsidRDefault="008D729E" w:rsidP="000C5D7C">
      <w:pPr>
        <w:ind w:left="1440"/>
      </w:pPr>
    </w:p>
    <w:p w:rsidR="00176743" w:rsidRPr="000C5D7C" w:rsidRDefault="008D729E" w:rsidP="000C5D7C">
      <w:pPr>
        <w:ind w:left="1440"/>
        <w:rPr>
          <w:rFonts w:cs="Arial"/>
        </w:rPr>
      </w:pPr>
      <w:r w:rsidRPr="000C5D7C">
        <w:rPr>
          <w:rFonts w:cs="Arial"/>
        </w:rPr>
        <w:t>None</w:t>
      </w:r>
    </w:p>
    <w:p w:rsidR="00A8365D" w:rsidRPr="009E6EF3" w:rsidRDefault="008D729E" w:rsidP="009E6EF3"/>
    <w:p w:rsidR="00406F39" w:rsidRDefault="008D729E" w:rsidP="00B9479B">
      <w:pPr>
        <w:pStyle w:val="Heading5"/>
      </w:pPr>
      <w:r>
        <w:t>Gauge_Color</w:t>
      </w:r>
    </w:p>
    <w:p w:rsidR="008D0193" w:rsidRPr="009E6EF3" w:rsidRDefault="008D729E" w:rsidP="007055AF">
      <w:pPr>
        <w:keepNext/>
        <w:keepLines/>
      </w:pPr>
    </w:p>
    <w:p w:rsidR="009E6EF3" w:rsidRPr="009E6EF3" w:rsidRDefault="008D729E" w:rsidP="007055AF">
      <w:pPr>
        <w:keepNext/>
        <w:keepLines/>
      </w:pPr>
      <w:r>
        <w:t xml:space="preserve">The color of the displayed Gauges are determined by applying the </w:t>
      </w:r>
      <w:r>
        <w:t>logic in the table below</w:t>
      </w:r>
      <w:r w:rsidRPr="009E6EF3">
        <w:t>. After the determination of the</w:t>
      </w:r>
      <w:r>
        <w:t xml:space="preserve"> color is made, the color of the displayed gauges must be modified to agree with these values</w:t>
      </w:r>
      <w:r w:rsidRPr="009E6EF3">
        <w:t>.</w:t>
      </w:r>
      <w:r>
        <w:t xml:space="preserve"> </w:t>
      </w:r>
    </w:p>
    <w:p w:rsidR="009E6EF3" w:rsidRDefault="008D729E" w:rsidP="007055AF">
      <w:pPr>
        <w:keepNext/>
        <w:keepLines/>
      </w:pPr>
    </w:p>
    <w:p w:rsidR="00406F39" w:rsidRDefault="008D729E" w:rsidP="00B9479B">
      <w:pPr>
        <w:pStyle w:val="Heading5"/>
      </w:pPr>
      <w:r w:rsidRPr="00B9479B">
        <w:t>F-REQ-345872/A-Gauge_Color Values</w:t>
      </w:r>
    </w:p>
    <w:p w:rsidR="00AE06BC" w:rsidRPr="00AE06BC" w:rsidRDefault="008D729E" w:rsidP="00AE06BC"/>
    <w:tbl>
      <w:tblPr>
        <w:tblpPr w:leftFromText="180" w:rightFromText="180" w:vertAnchor="text" w:tblpXSpec="center" w:tblpY="1"/>
        <w:tblOverlap w:val="never"/>
        <w:tblW w:w="45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1503"/>
        <w:gridCol w:w="1674"/>
        <w:gridCol w:w="1759"/>
        <w:gridCol w:w="1674"/>
        <w:gridCol w:w="2208"/>
      </w:tblGrid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4888" w:rsidRPr="004922B9" w:rsidRDefault="008D729E" w:rsidP="00CF164F">
            <w:pPr>
              <w:keepNext/>
              <w:keepLines/>
              <w:rPr>
                <w:b/>
              </w:rPr>
            </w:pPr>
            <w:r w:rsidRPr="004922B9">
              <w:rPr>
                <w:b/>
              </w:rPr>
              <w:t>CurrentColor_CmdGage Signal</w:t>
            </w:r>
          </w:p>
        </w:tc>
        <w:tc>
          <w:tcPr>
            <w:tcW w:w="7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4888" w:rsidRPr="004922B9" w:rsidRDefault="008D729E" w:rsidP="00CF164F">
            <w:pPr>
              <w:keepNext/>
              <w:keepLines/>
              <w:rPr>
                <w:b/>
              </w:rPr>
            </w:pPr>
            <w:r w:rsidRPr="004922B9">
              <w:rPr>
                <w:b/>
              </w:rPr>
              <w:t>BlendedColor_ CmdGage Signal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4888" w:rsidRPr="004922B9" w:rsidRDefault="008D729E" w:rsidP="00CF164F">
            <w:pPr>
              <w:keepNext/>
              <w:keepLines/>
              <w:rPr>
                <w:b/>
              </w:rPr>
            </w:pPr>
            <w:r w:rsidRPr="004922B9">
              <w:rPr>
                <w:b/>
              </w:rPr>
              <w:t>BlendColorRed_ CmdGage</w:t>
            </w:r>
            <w:r w:rsidRPr="004922B9">
              <w:rPr>
                <w:b/>
              </w:rPr>
              <w:t xml:space="preserve"> Signal</w:t>
            </w:r>
          </w:p>
        </w:tc>
        <w:tc>
          <w:tcPr>
            <w:tcW w:w="8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64888" w:rsidRPr="004922B9" w:rsidRDefault="008D729E" w:rsidP="00CF164F">
            <w:pPr>
              <w:keepNext/>
              <w:keepLines/>
              <w:rPr>
                <w:b/>
              </w:rPr>
            </w:pPr>
            <w:r w:rsidRPr="004922B9">
              <w:rPr>
                <w:b/>
              </w:rPr>
              <w:t>BlendColorBlue_ CmdGage Signal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:rsidR="00564888" w:rsidRPr="004922B9" w:rsidRDefault="008D729E" w:rsidP="00CF164F">
            <w:pPr>
              <w:keepNext/>
              <w:keepLines/>
              <w:rPr>
                <w:b/>
              </w:rPr>
            </w:pPr>
            <w:r w:rsidRPr="004922B9">
              <w:rPr>
                <w:b/>
              </w:rPr>
              <w:t>BlendColorGrn_ CmdGage Signal</w:t>
            </w:r>
          </w:p>
        </w:tc>
        <w:tc>
          <w:tcPr>
            <w:tcW w:w="1070" w:type="pct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:rsidR="00564888" w:rsidRPr="004922B9" w:rsidRDefault="008D729E" w:rsidP="00CF164F">
            <w:pPr>
              <w:keepNext/>
              <w:keepLines/>
              <w:rPr>
                <w:b/>
              </w:rPr>
            </w:pPr>
            <w:r w:rsidRPr="004922B9">
              <w:rPr>
                <w:b/>
              </w:rPr>
              <w:t>Gauge_Color**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OFF</w:t>
            </w:r>
          </w:p>
        </w:tc>
        <w:tc>
          <w:tcPr>
            <w:tcW w:w="72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OFF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5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1070" w:type="pct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OFF (No Gauge Color)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Color1</w:t>
            </w:r>
          </w:p>
        </w:tc>
        <w:tc>
          <w:tcPr>
            <w:tcW w:w="72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*OFF (0x0)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5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1070" w:type="pct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rPr>
                <w:rFonts w:cs="Arial"/>
              </w:rPr>
            </w:pPr>
            <w:r w:rsidRPr="009E6EF3">
              <w:rPr>
                <w:rFonts w:cs="Arial"/>
              </w:rPr>
              <w:t>*Ice Blue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Color2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OFF (0x0)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1070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rPr>
                <w:rFonts w:cs="Arial"/>
              </w:rPr>
            </w:pPr>
            <w:r w:rsidRPr="009E6EF3">
              <w:rPr>
                <w:rFonts w:cs="Arial"/>
              </w:rPr>
              <w:t>White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Color3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OFF (0x0)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1070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rPr>
                <w:rFonts w:cs="Arial"/>
              </w:rPr>
            </w:pPr>
            <w:r w:rsidRPr="009E6EF3">
              <w:rPr>
                <w:rFonts w:cs="Arial"/>
              </w:rPr>
              <w:t>Green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Color4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OFF (0x0)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1070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rPr>
                <w:rFonts w:cs="Arial"/>
              </w:rPr>
            </w:pPr>
            <w:r w:rsidRPr="009E6EF3">
              <w:rPr>
                <w:rFonts w:cs="Arial"/>
              </w:rPr>
              <w:t>Purple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Color5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OFF</w:t>
            </w:r>
            <w:r>
              <w:rPr>
                <w:rFonts w:ascii="Calibri" w:hAnsi="Calibri"/>
                <w:color w:val="000000"/>
                <w:szCs w:val="22"/>
              </w:rPr>
              <w:t xml:space="preserve"> (0x0)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1070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rPr>
                <w:rFonts w:cs="Arial"/>
              </w:rPr>
            </w:pPr>
            <w:r w:rsidRPr="009E6EF3">
              <w:rPr>
                <w:rFonts w:cs="Arial"/>
              </w:rPr>
              <w:t>Blue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Color6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OFF (0x0)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1070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rPr>
                <w:rFonts w:cs="Arial"/>
              </w:rPr>
            </w:pPr>
            <w:r w:rsidRPr="009E6EF3">
              <w:rPr>
                <w:rFonts w:cs="Arial"/>
              </w:rPr>
              <w:t>Orange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Color7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OFF (0x0)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1070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rPr>
                <w:rFonts w:cs="Arial"/>
              </w:rPr>
            </w:pPr>
            <w:r w:rsidRPr="009E6EF3">
              <w:rPr>
                <w:rFonts w:cs="Arial"/>
              </w:rPr>
              <w:t>Red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816EBD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  <w:highlight w:val="green"/>
              </w:rPr>
            </w:pPr>
            <w:r w:rsidRPr="00816EBD">
              <w:rPr>
                <w:rFonts w:ascii="Calibri" w:hAnsi="Calibri"/>
                <w:color w:val="000000"/>
                <w:szCs w:val="22"/>
                <w:highlight w:val="green"/>
              </w:rPr>
              <w:t>Color8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816EBD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  <w:highlight w:val="green"/>
              </w:rPr>
            </w:pPr>
            <w:r w:rsidRPr="00816EBD">
              <w:rPr>
                <w:rFonts w:ascii="Calibri" w:hAnsi="Calibri"/>
                <w:color w:val="000000"/>
                <w:szCs w:val="22"/>
                <w:highlight w:val="green"/>
              </w:rPr>
              <w:t>OFF (0x0)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816EBD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  <w:highlight w:val="green"/>
              </w:rPr>
            </w:pPr>
            <w:r w:rsidRPr="00816EBD">
              <w:rPr>
                <w:rFonts w:ascii="Calibri" w:hAnsi="Calibri"/>
                <w:color w:val="000000"/>
                <w:szCs w:val="22"/>
                <w:highlight w:val="green"/>
              </w:rPr>
              <w:t>X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816EBD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  <w:highlight w:val="green"/>
              </w:rPr>
            </w:pPr>
            <w:r w:rsidRPr="00816EBD">
              <w:rPr>
                <w:rFonts w:ascii="Calibri" w:hAnsi="Calibri"/>
                <w:color w:val="000000"/>
                <w:szCs w:val="22"/>
                <w:highlight w:val="green"/>
              </w:rPr>
              <w:t>X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Pr="00816EBD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  <w:highlight w:val="green"/>
              </w:rPr>
            </w:pPr>
            <w:r w:rsidRPr="00816EBD">
              <w:rPr>
                <w:rFonts w:ascii="Calibri" w:hAnsi="Calibri"/>
                <w:color w:val="000000"/>
                <w:szCs w:val="22"/>
                <w:highlight w:val="green"/>
              </w:rPr>
              <w:t>X</w:t>
            </w:r>
          </w:p>
        </w:tc>
        <w:tc>
          <w:tcPr>
            <w:tcW w:w="1070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816EBD" w:rsidRDefault="008D729E" w:rsidP="00CF164F">
            <w:pPr>
              <w:keepNext/>
              <w:keepLines/>
              <w:rPr>
                <w:rFonts w:cs="Arial"/>
                <w:highlight w:val="green"/>
              </w:rPr>
            </w:pPr>
            <w:r w:rsidRPr="00816EBD">
              <w:rPr>
                <w:rFonts w:cs="Arial"/>
                <w:highlight w:val="green"/>
              </w:rPr>
              <w:t>Highland Green</w:t>
            </w:r>
          </w:p>
        </w:tc>
      </w:tr>
      <w:tr w:rsidR="00564888" w:rsidRPr="009E6EF3" w:rsidTr="00DA1E11">
        <w:trPr>
          <w:jc w:val="center"/>
        </w:trPr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6EF3">
              <w:rPr>
                <w:rFonts w:ascii="Calibri" w:hAnsi="Calibri"/>
                <w:color w:val="000000"/>
                <w:szCs w:val="22"/>
              </w:rPr>
              <w:t>On (0x1)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MyColor</w:t>
            </w:r>
            <w:r w:rsidRPr="009E6EF3">
              <w:rPr>
                <w:rFonts w:ascii="Calibri" w:hAnsi="Calibri"/>
                <w:color w:val="000000"/>
                <w:szCs w:val="22"/>
              </w:rPr>
              <w:t>_Red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MyColor</w:t>
            </w:r>
            <w:r w:rsidRPr="009E6EF3">
              <w:rPr>
                <w:rFonts w:ascii="Calibri" w:hAnsi="Calibri"/>
                <w:color w:val="000000"/>
                <w:szCs w:val="22"/>
              </w:rPr>
              <w:t>_Blue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MyColor</w:t>
            </w:r>
            <w:r w:rsidRPr="009E6EF3">
              <w:rPr>
                <w:rFonts w:ascii="Calibri" w:hAnsi="Calibri"/>
                <w:color w:val="000000"/>
                <w:szCs w:val="22"/>
              </w:rPr>
              <w:t>_Grn</w:t>
            </w:r>
          </w:p>
        </w:tc>
        <w:tc>
          <w:tcPr>
            <w:tcW w:w="1070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Pr="009E6EF3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MyColor***</w:t>
            </w:r>
          </w:p>
        </w:tc>
      </w:tr>
      <w:tr w:rsidR="00564888" w:rsidRPr="009E6EF3" w:rsidTr="00DA1E11">
        <w:trPr>
          <w:jc w:val="center"/>
        </w:trPr>
        <w:tc>
          <w:tcPr>
            <w:tcW w:w="39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All other cases</w:t>
            </w:r>
          </w:p>
        </w:tc>
        <w:tc>
          <w:tcPr>
            <w:tcW w:w="1070" w:type="pct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564888" w:rsidRDefault="008D729E" w:rsidP="00CF164F">
            <w:pPr>
              <w:keepNext/>
              <w:keepLines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6EF3">
              <w:rPr>
                <w:rFonts w:cs="Arial"/>
              </w:rPr>
              <w:t>*Ice Blue</w:t>
            </w:r>
          </w:p>
        </w:tc>
      </w:tr>
    </w:tbl>
    <w:p w:rsidR="004922B9" w:rsidRDefault="008D729E" w:rsidP="004922B9">
      <w:pPr>
        <w:keepNext/>
        <w:keepLines/>
        <w:ind w:left="1440"/>
      </w:pPr>
    </w:p>
    <w:p w:rsidR="007C17DE" w:rsidRDefault="008D729E" w:rsidP="004922B9">
      <w:pPr>
        <w:keepNext/>
        <w:keepLines/>
        <w:ind w:left="1440"/>
      </w:pPr>
      <w:r w:rsidRPr="009E6EF3">
        <w:t xml:space="preserve">* Default values if no color selection has ever </w:t>
      </w:r>
      <w:r w:rsidRPr="009E6EF3">
        <w:t>been selected or received.</w:t>
      </w:r>
    </w:p>
    <w:p w:rsidR="00760321" w:rsidRDefault="008D729E" w:rsidP="004922B9">
      <w:pPr>
        <w:keepNext/>
        <w:keepLines/>
        <w:ind w:left="1440"/>
      </w:pPr>
      <w:r>
        <w:t>**Day Time illumination is white.  Night Time illumination (dimming_lvl = 0x1 to 0xC) is Gauge_Color.</w:t>
      </w:r>
    </w:p>
    <w:p w:rsidR="00767A23" w:rsidRDefault="008D729E" w:rsidP="004922B9">
      <w:pPr>
        <w:keepNext/>
        <w:keepLines/>
        <w:ind w:left="1440"/>
      </w:pPr>
      <w:r>
        <w:t>***See MyColor Lighting Control Function STSS for definition of MyColor coordinates.</w:t>
      </w:r>
    </w:p>
    <w:p w:rsidR="004524A2" w:rsidRDefault="008D729E" w:rsidP="009E6EF3">
      <w:pPr>
        <w:ind w:left="1368"/>
      </w:pPr>
    </w:p>
    <w:p w:rsidR="00406F39" w:rsidRDefault="008D729E" w:rsidP="00B9479B">
      <w:pPr>
        <w:pStyle w:val="Heading4"/>
      </w:pPr>
      <w:r w:rsidRPr="00B9479B">
        <w:t>F-REQ-345876/A-Operation Description (supports algorithm flowchart /state diagram)</w:t>
      </w:r>
    </w:p>
    <w:p w:rsidR="006E4A26" w:rsidRDefault="008D729E">
      <w:pPr>
        <w:rPr>
          <w:rFonts w:cs="Arial"/>
          <w:sz w:val="16"/>
          <w:szCs w:val="16"/>
        </w:rPr>
      </w:pPr>
    </w:p>
    <w:p w:rsidR="00C57405" w:rsidRDefault="008D729E" w:rsidP="008D729E">
      <w:pPr>
        <w:numPr>
          <w:ilvl w:val="0"/>
          <w:numId w:val="9"/>
        </w:numPr>
        <w:rPr>
          <w:rFonts w:cs="Arial"/>
          <w:sz w:val="16"/>
          <w:szCs w:val="16"/>
        </w:rPr>
      </w:pPr>
      <w:r w:rsidRPr="00F1229D">
        <w:rPr>
          <w:rFonts w:cs="Arial"/>
          <w:highlight w:val="yellow"/>
        </w:rPr>
        <w:t>MyColor illumination shall only be shown during nighttime, determine</w:t>
      </w:r>
      <w:r>
        <w:rPr>
          <w:rFonts w:cs="Arial"/>
          <w:highlight w:val="yellow"/>
        </w:rPr>
        <w:t>d</w:t>
      </w:r>
      <w:r w:rsidRPr="00F1229D">
        <w:rPr>
          <w:rFonts w:cs="Arial"/>
          <w:highlight w:val="yellow"/>
        </w:rPr>
        <w:t xml:space="preserve"> by CAN signal Dimming_Lvl</w:t>
      </w:r>
      <w:r>
        <w:rPr>
          <w:rFonts w:cs="Arial"/>
          <w:highlight w:val="yellow"/>
        </w:rPr>
        <w:t>.</w:t>
      </w:r>
    </w:p>
    <w:p w:rsidR="00E01153" w:rsidRDefault="008D729E">
      <w:pPr>
        <w:rPr>
          <w:rFonts w:cs="Arial"/>
          <w:sz w:val="16"/>
          <w:szCs w:val="16"/>
        </w:rPr>
      </w:pPr>
    </w:p>
    <w:p w:rsidR="00406F39" w:rsidRDefault="008D729E" w:rsidP="00B9479B">
      <w:pPr>
        <w:pStyle w:val="Heading4"/>
      </w:pPr>
      <w:r w:rsidRPr="00B9479B">
        <w:t>FS-REQ-346021/A-Function Safety Classification (EMC)</w:t>
      </w:r>
    </w:p>
    <w:p w:rsidR="006E4A26" w:rsidRDefault="008D729E">
      <w:pPr>
        <w:ind w:left="360" w:firstLine="576"/>
        <w:rPr>
          <w:rFonts w:cs="Arial"/>
          <w:sz w:val="16"/>
          <w:szCs w:val="16"/>
        </w:rPr>
      </w:pPr>
    </w:p>
    <w:p w:rsidR="006E4A26" w:rsidRDefault="008D729E" w:rsidP="00E8487F">
      <w:pPr>
        <w:ind w:left="1440"/>
      </w:pPr>
      <w:r>
        <w:t>Class B</w:t>
      </w:r>
    </w:p>
    <w:p w:rsidR="006812E6" w:rsidRDefault="008D729E" w:rsidP="00E8487F">
      <w:pPr>
        <w:ind w:left="1440"/>
      </w:pPr>
    </w:p>
    <w:p w:rsidR="006812E6" w:rsidRDefault="008D729E" w:rsidP="00E8487F">
      <w:pPr>
        <w:ind w:left="1440"/>
      </w:pPr>
    </w:p>
    <w:p w:rsidR="006E4A26" w:rsidRDefault="008D729E">
      <w:pPr>
        <w:ind w:left="360" w:firstLine="576"/>
        <w:rPr>
          <w:rFonts w:cs="Arial"/>
          <w:sz w:val="16"/>
          <w:szCs w:val="16"/>
        </w:rPr>
      </w:pPr>
    </w:p>
    <w:p w:rsidR="00D77F5D" w:rsidRDefault="008D729E" w:rsidP="00E01153">
      <w:pPr>
        <w:rPr>
          <w:rFonts w:cs="Arial"/>
          <w:sz w:val="16"/>
          <w:szCs w:val="16"/>
        </w:rPr>
      </w:pPr>
    </w:p>
    <w:p w:rsidR="006812E6" w:rsidRDefault="008D729E" w:rsidP="00E01153">
      <w:pPr>
        <w:rPr>
          <w:rFonts w:cs="Arial"/>
          <w:sz w:val="16"/>
          <w:szCs w:val="16"/>
        </w:rPr>
      </w:pPr>
    </w:p>
    <w:p w:rsidR="006812E6" w:rsidRDefault="008D729E" w:rsidP="00E01153">
      <w:pPr>
        <w:rPr>
          <w:rFonts w:cs="Arial"/>
          <w:sz w:val="16"/>
          <w:szCs w:val="16"/>
        </w:rPr>
      </w:pPr>
    </w:p>
    <w:p w:rsidR="006812E6" w:rsidRDefault="008D729E" w:rsidP="00E01153">
      <w:pPr>
        <w:rPr>
          <w:rFonts w:cs="Arial"/>
          <w:sz w:val="16"/>
          <w:szCs w:val="16"/>
        </w:rPr>
      </w:pPr>
    </w:p>
    <w:p w:rsidR="006812E6" w:rsidRDefault="008D729E" w:rsidP="00E01153">
      <w:pPr>
        <w:rPr>
          <w:rFonts w:cs="Arial"/>
          <w:sz w:val="16"/>
          <w:szCs w:val="16"/>
        </w:rPr>
      </w:pPr>
    </w:p>
    <w:p w:rsidR="006812E6" w:rsidRDefault="008D729E" w:rsidP="00E01153">
      <w:pPr>
        <w:rPr>
          <w:rFonts w:cs="Arial"/>
          <w:sz w:val="16"/>
          <w:szCs w:val="16"/>
        </w:rPr>
      </w:pPr>
    </w:p>
    <w:p w:rsidR="00406F39" w:rsidRDefault="008D729E" w:rsidP="00B9479B">
      <w:pPr>
        <w:pStyle w:val="Heading4"/>
      </w:pPr>
      <w:r>
        <w:lastRenderedPageBreak/>
        <w:t>Memory Storage</w:t>
      </w:r>
    </w:p>
    <w:p w:rsidR="00406F39" w:rsidRDefault="008D729E" w:rsidP="00B9479B">
      <w:pPr>
        <w:pStyle w:val="Heading5"/>
      </w:pPr>
      <w:r w:rsidRPr="00B9479B">
        <w:t>NVM-REQ-345873/A-Functional Parameters</w:t>
      </w:r>
    </w:p>
    <w:p w:rsidR="00AE06BC" w:rsidRPr="00AE06BC" w:rsidRDefault="008D729E" w:rsidP="00AE06BC"/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21"/>
        <w:gridCol w:w="4606"/>
        <w:gridCol w:w="1967"/>
        <w:gridCol w:w="1696"/>
      </w:tblGrid>
      <w:tr w:rsidR="00F65A65" w:rsidTr="00DA1E11">
        <w:trPr>
          <w:trHeight w:val="492"/>
          <w:tblHeader/>
          <w:jc w:val="center"/>
        </w:trPr>
        <w:tc>
          <w:tcPr>
            <w:tcW w:w="13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5A65" w:rsidRDefault="008D729E" w:rsidP="00EB159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0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5A65" w:rsidRDefault="008D729E" w:rsidP="00EB159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5A65" w:rsidRDefault="008D729E" w:rsidP="00EB159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 xml:space="preserve">Value at </w:t>
            </w:r>
          </w:p>
          <w:p w:rsidR="00F65A65" w:rsidRDefault="008D729E" w:rsidP="00EB159F">
            <w:pPr>
              <w:keepNext/>
              <w:jc w:val="center"/>
              <w:rPr>
                <w:b/>
              </w:rPr>
            </w:pPr>
            <w:smartTag w:uri="urn:schemas-microsoft-com:office:smarttags" w:element="place">
              <w:r>
                <w:rPr>
                  <w:b/>
                </w:rPr>
                <w:t>Battery</w:t>
              </w:r>
            </w:smartTag>
            <w:r>
              <w:rPr>
                <w:b/>
              </w:rPr>
              <w:t xml:space="preserve"> Connect</w:t>
            </w:r>
          </w:p>
        </w:tc>
        <w:tc>
          <w:tcPr>
            <w:tcW w:w="7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5A65" w:rsidRDefault="008D729E" w:rsidP="00EB159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 xml:space="preserve">Value </w:t>
            </w:r>
            <w:r>
              <w:rPr>
                <w:b/>
              </w:rPr>
              <w:t>at Module Wake-up</w:t>
            </w:r>
          </w:p>
        </w:tc>
      </w:tr>
      <w:tr w:rsidR="00792BC0" w:rsidTr="00DA1E11">
        <w:trPr>
          <w:jc w:val="center"/>
        </w:trPr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BC0" w:rsidRDefault="008D729E" w:rsidP="00EB159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Operational_Mode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BC0" w:rsidRDefault="008D729E" w:rsidP="00EB159F">
            <w:pPr>
              <w:keepNext/>
              <w:jc w:val="center"/>
              <w:rPr>
                <w:rFonts w:cs="Arial"/>
              </w:rPr>
            </w:pPr>
            <w:r>
              <w:rPr>
                <w:rFonts w:cs="Arial"/>
              </w:rPr>
              <w:t>4 state indicator for cluster operational mode</w:t>
            </w: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BC0" w:rsidRPr="00792BC0" w:rsidRDefault="008D729E" w:rsidP="00EB159F">
            <w:pPr>
              <w:keepNext/>
              <w:jc w:val="center"/>
            </w:pPr>
            <w:r w:rsidRPr="00792BC0">
              <w:t xml:space="preserve">Limited 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BC0" w:rsidRPr="00792BC0" w:rsidRDefault="008D729E" w:rsidP="00EB159F">
            <w:pPr>
              <w:keepNext/>
              <w:jc w:val="center"/>
            </w:pPr>
            <w:r w:rsidRPr="00792BC0">
              <w:t>Limited or Normal or Crank</w:t>
            </w:r>
          </w:p>
        </w:tc>
      </w:tr>
      <w:tr w:rsidR="004524A2" w:rsidRPr="0086727D" w:rsidTr="00DA1E11">
        <w:trPr>
          <w:jc w:val="center"/>
        </w:trPr>
        <w:tc>
          <w:tcPr>
            <w:tcW w:w="1305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>CurrentColor_CmdGage</w:t>
            </w:r>
          </w:p>
        </w:tc>
        <w:tc>
          <w:tcPr>
            <w:tcW w:w="20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 xml:space="preserve">This CAN signal value is modified by the Cluster SETUP menu, stored in </w:t>
            </w:r>
            <w:r>
              <w:t xml:space="preserve">cluster </w:t>
            </w:r>
            <w:r w:rsidRPr="008B3E05">
              <w:t xml:space="preserve">EEPROM, and the Cluster Gauge color </w:t>
            </w:r>
            <w:r>
              <w:t xml:space="preserve">and Gauge Pack gauge color </w:t>
            </w:r>
            <w:r w:rsidRPr="008B3E05">
              <w:t>changes to the value indicated.</w:t>
            </w:r>
          </w:p>
        </w:tc>
        <w:tc>
          <w:tcPr>
            <w:tcW w:w="879" w:type="pct"/>
          </w:tcPr>
          <w:p w:rsidR="004524A2" w:rsidRPr="008B3E05" w:rsidRDefault="008D729E" w:rsidP="002C3EC4">
            <w:pPr>
              <w:keepNext/>
              <w:jc w:val="center"/>
            </w:pPr>
            <w:r>
              <w:t>0x0 (Off)</w:t>
            </w:r>
          </w:p>
        </w:tc>
        <w:tc>
          <w:tcPr>
            <w:tcW w:w="7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>Do Not Init</w:t>
            </w:r>
          </w:p>
        </w:tc>
      </w:tr>
      <w:tr w:rsidR="004524A2" w:rsidRPr="0086727D" w:rsidTr="00DA1E11">
        <w:trPr>
          <w:jc w:val="center"/>
        </w:trPr>
        <w:tc>
          <w:tcPr>
            <w:tcW w:w="1305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>BlendedColor_CmdGage</w:t>
            </w:r>
          </w:p>
        </w:tc>
        <w:tc>
          <w:tcPr>
            <w:tcW w:w="20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 xml:space="preserve">This CAN signal value is modified by the Cluster SETUP menu, stored in </w:t>
            </w:r>
            <w:r>
              <w:t xml:space="preserve">cluster </w:t>
            </w:r>
            <w:r w:rsidRPr="008B3E05">
              <w:t xml:space="preserve">EEPROM, and the Cluster Gauge color </w:t>
            </w:r>
            <w:r>
              <w:t xml:space="preserve">and Gauge Pack gauge color </w:t>
            </w:r>
            <w:r w:rsidRPr="008B3E05">
              <w:t xml:space="preserve">changes to </w:t>
            </w:r>
            <w:r w:rsidRPr="008B3E05">
              <w:t>the value indicated.</w:t>
            </w:r>
          </w:p>
        </w:tc>
        <w:tc>
          <w:tcPr>
            <w:tcW w:w="879" w:type="pct"/>
          </w:tcPr>
          <w:p w:rsidR="004524A2" w:rsidRPr="008B3E05" w:rsidRDefault="008D729E" w:rsidP="002C3EC4">
            <w:pPr>
              <w:keepNext/>
              <w:jc w:val="center"/>
            </w:pPr>
            <w:r>
              <w:t>0x0 (Off)</w:t>
            </w:r>
          </w:p>
        </w:tc>
        <w:tc>
          <w:tcPr>
            <w:tcW w:w="7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>Do Not Init</w:t>
            </w:r>
          </w:p>
        </w:tc>
      </w:tr>
      <w:tr w:rsidR="004524A2" w:rsidRPr="0086727D" w:rsidTr="00DA1E11">
        <w:trPr>
          <w:jc w:val="center"/>
        </w:trPr>
        <w:tc>
          <w:tcPr>
            <w:tcW w:w="1305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>BlendColorRed_CmdGage</w:t>
            </w:r>
          </w:p>
        </w:tc>
        <w:tc>
          <w:tcPr>
            <w:tcW w:w="20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 xml:space="preserve">This CAN signal value is modified by the Cluster SETUP menu, stored in </w:t>
            </w:r>
            <w:r>
              <w:t xml:space="preserve">cluster </w:t>
            </w:r>
            <w:r w:rsidRPr="008B3E05">
              <w:t xml:space="preserve">EEPROM, and the Cluster Gauge color </w:t>
            </w:r>
            <w:r>
              <w:t xml:space="preserve">and Gauge Pack gauge color </w:t>
            </w:r>
            <w:r w:rsidRPr="008B3E05">
              <w:t>changes to the value indicated.</w:t>
            </w:r>
          </w:p>
        </w:tc>
        <w:tc>
          <w:tcPr>
            <w:tcW w:w="879" w:type="pct"/>
          </w:tcPr>
          <w:p w:rsidR="004524A2" w:rsidRPr="008B3E05" w:rsidRDefault="008D729E" w:rsidP="002C3EC4">
            <w:pPr>
              <w:keepNext/>
              <w:jc w:val="center"/>
            </w:pPr>
            <w:r>
              <w:t>0x0 (Null)</w:t>
            </w:r>
          </w:p>
        </w:tc>
        <w:tc>
          <w:tcPr>
            <w:tcW w:w="7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 xml:space="preserve">Do </w:t>
            </w:r>
            <w:r w:rsidRPr="008B3E05">
              <w:t>Not Init</w:t>
            </w:r>
          </w:p>
        </w:tc>
      </w:tr>
      <w:tr w:rsidR="004524A2" w:rsidRPr="0086727D" w:rsidTr="00DA1E11">
        <w:trPr>
          <w:jc w:val="center"/>
        </w:trPr>
        <w:tc>
          <w:tcPr>
            <w:tcW w:w="1305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>BlendColorBlue_CmdGage</w:t>
            </w:r>
          </w:p>
        </w:tc>
        <w:tc>
          <w:tcPr>
            <w:tcW w:w="20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 xml:space="preserve">This CAN signal value is modified by the Cluster SETUP menu, stored in </w:t>
            </w:r>
            <w:r>
              <w:t xml:space="preserve">cluster </w:t>
            </w:r>
            <w:r w:rsidRPr="008B3E05">
              <w:t xml:space="preserve">EEPROM, and the Cluster Gauge color </w:t>
            </w:r>
            <w:r>
              <w:t xml:space="preserve">and Gauge Pack gauge color </w:t>
            </w:r>
            <w:r w:rsidRPr="008B3E05">
              <w:t>changes to the value indicated.</w:t>
            </w:r>
          </w:p>
        </w:tc>
        <w:tc>
          <w:tcPr>
            <w:tcW w:w="879" w:type="pct"/>
          </w:tcPr>
          <w:p w:rsidR="004524A2" w:rsidRPr="008B3E05" w:rsidRDefault="008D729E" w:rsidP="002C3EC4">
            <w:pPr>
              <w:keepNext/>
              <w:jc w:val="center"/>
            </w:pPr>
            <w:r>
              <w:t>0x0 (Null)</w:t>
            </w:r>
          </w:p>
        </w:tc>
        <w:tc>
          <w:tcPr>
            <w:tcW w:w="7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>Do Not Init</w:t>
            </w:r>
          </w:p>
        </w:tc>
      </w:tr>
      <w:tr w:rsidR="004524A2" w:rsidRPr="0086727D" w:rsidTr="00DA1E11">
        <w:trPr>
          <w:jc w:val="center"/>
        </w:trPr>
        <w:tc>
          <w:tcPr>
            <w:tcW w:w="1305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>BlendColorGrn_CmdGage</w:t>
            </w:r>
          </w:p>
        </w:tc>
        <w:tc>
          <w:tcPr>
            <w:tcW w:w="20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 xml:space="preserve">This CAN signal value is modified by the Cluster SETUP menu, stored in </w:t>
            </w:r>
            <w:r>
              <w:t xml:space="preserve">cluster </w:t>
            </w:r>
            <w:r w:rsidRPr="008B3E05">
              <w:t xml:space="preserve">EEPROM, and the Cluster Gauge color </w:t>
            </w:r>
            <w:r>
              <w:t xml:space="preserve">and Gauge Pack gauge color </w:t>
            </w:r>
            <w:r w:rsidRPr="008B3E05">
              <w:t>changes to the value indicated.</w:t>
            </w:r>
          </w:p>
        </w:tc>
        <w:tc>
          <w:tcPr>
            <w:tcW w:w="879" w:type="pct"/>
          </w:tcPr>
          <w:p w:rsidR="004524A2" w:rsidRPr="008B3E05" w:rsidRDefault="008D729E" w:rsidP="002C3EC4">
            <w:pPr>
              <w:keepNext/>
              <w:jc w:val="center"/>
            </w:pPr>
            <w:r>
              <w:t>0x0 (Null)</w:t>
            </w:r>
          </w:p>
        </w:tc>
        <w:tc>
          <w:tcPr>
            <w:tcW w:w="758" w:type="pct"/>
          </w:tcPr>
          <w:p w:rsidR="004524A2" w:rsidRPr="008B3E05" w:rsidRDefault="008D729E" w:rsidP="002C3EC4">
            <w:pPr>
              <w:keepNext/>
              <w:jc w:val="center"/>
            </w:pPr>
            <w:r w:rsidRPr="008B3E05">
              <w:t>Do Not Init</w:t>
            </w:r>
          </w:p>
        </w:tc>
      </w:tr>
      <w:tr w:rsidR="004524A2" w:rsidRPr="0086727D" w:rsidTr="00DA1E11">
        <w:trPr>
          <w:jc w:val="center"/>
        </w:trPr>
        <w:tc>
          <w:tcPr>
            <w:tcW w:w="1305" w:type="pct"/>
          </w:tcPr>
          <w:p w:rsidR="004524A2" w:rsidRPr="008B3E05" w:rsidRDefault="008D729E" w:rsidP="00760321">
            <w:pPr>
              <w:keepNext/>
              <w:jc w:val="center"/>
            </w:pPr>
            <w:r w:rsidRPr="008B3E05">
              <w:t>Dimming_Lvl</w:t>
            </w:r>
          </w:p>
        </w:tc>
        <w:tc>
          <w:tcPr>
            <w:tcW w:w="2058" w:type="pct"/>
          </w:tcPr>
          <w:p w:rsidR="004524A2" w:rsidRPr="008B3E05" w:rsidRDefault="008D729E" w:rsidP="007055AF">
            <w:pPr>
              <w:keepNext/>
              <w:jc w:val="center"/>
            </w:pPr>
            <w:r>
              <w:t xml:space="preserve">CAN input signal that defines dimming level for back lighting.  See </w:t>
            </w:r>
            <w:r>
              <w:rPr>
                <w:rFonts w:ascii="Helvetica" w:hAnsi="Helvetica" w:cs="Helvetica"/>
              </w:rPr>
              <w:t>VEHICLE INTERIOR ILLUMINATION WITH DAYTIME DIMMING Engineering Specification.</w:t>
            </w:r>
          </w:p>
        </w:tc>
        <w:tc>
          <w:tcPr>
            <w:tcW w:w="879" w:type="pct"/>
          </w:tcPr>
          <w:p w:rsidR="004524A2" w:rsidRPr="008B3E05" w:rsidRDefault="008D729E" w:rsidP="002C3EC4">
            <w:pPr>
              <w:keepNext/>
              <w:jc w:val="center"/>
            </w:pPr>
            <w:r>
              <w:t>As per ES</w:t>
            </w:r>
          </w:p>
        </w:tc>
        <w:tc>
          <w:tcPr>
            <w:tcW w:w="758" w:type="pct"/>
          </w:tcPr>
          <w:p w:rsidR="004524A2" w:rsidRPr="008B3E05" w:rsidRDefault="008D729E" w:rsidP="002C3EC4">
            <w:pPr>
              <w:keepNext/>
              <w:jc w:val="center"/>
            </w:pPr>
            <w:r>
              <w:t>As per ES</w:t>
            </w:r>
          </w:p>
        </w:tc>
      </w:tr>
      <w:tr w:rsidR="007055AF" w:rsidRPr="0086727D" w:rsidTr="00DA1E11">
        <w:trPr>
          <w:jc w:val="center"/>
        </w:trPr>
        <w:tc>
          <w:tcPr>
            <w:tcW w:w="1305" w:type="pct"/>
          </w:tcPr>
          <w:p w:rsidR="007055AF" w:rsidRPr="008B3E05" w:rsidRDefault="008D729E" w:rsidP="002C3EC4">
            <w:pPr>
              <w:keepNext/>
              <w:jc w:val="center"/>
            </w:pPr>
            <w:r w:rsidRPr="008B3E05">
              <w:t>Gauge_Color</w:t>
            </w:r>
          </w:p>
        </w:tc>
        <w:tc>
          <w:tcPr>
            <w:tcW w:w="2058" w:type="pct"/>
          </w:tcPr>
          <w:p w:rsidR="007055AF" w:rsidRDefault="008D729E" w:rsidP="00C202FC">
            <w:pPr>
              <w:keepNext/>
              <w:jc w:val="center"/>
            </w:pPr>
            <w:r w:rsidRPr="008B3E05">
              <w:t>This internal variable is the displayed Cluster Gauge color. Default value is</w:t>
            </w:r>
            <w:r w:rsidRPr="008B3E05">
              <w:t xml:space="preserve"> 0x0 (Ice Blue) for indeterminate conditions.</w:t>
            </w:r>
            <w:r>
              <w:t xml:space="preserve">  This is only applicable during night time dimming conditions.</w:t>
            </w:r>
          </w:p>
          <w:p w:rsidR="00C202FC" w:rsidRPr="008B3E05" w:rsidRDefault="008D729E" w:rsidP="00C202FC">
            <w:pPr>
              <w:keepNext/>
              <w:jc w:val="center"/>
            </w:pPr>
            <w:r>
              <w:t>Note:  This can be stored in battery backed memory or in EEPROM at supplier’s discretion.</w:t>
            </w:r>
          </w:p>
        </w:tc>
        <w:tc>
          <w:tcPr>
            <w:tcW w:w="879" w:type="pct"/>
          </w:tcPr>
          <w:p w:rsidR="007055AF" w:rsidRPr="0086727D" w:rsidRDefault="008D729E" w:rsidP="00C202FC">
            <w:pPr>
              <w:keepNext/>
              <w:jc w:val="center"/>
            </w:pPr>
            <w:r>
              <w:t>0x0 (Ice Blue)</w:t>
            </w:r>
          </w:p>
        </w:tc>
        <w:tc>
          <w:tcPr>
            <w:tcW w:w="758" w:type="pct"/>
          </w:tcPr>
          <w:p w:rsidR="007055AF" w:rsidRDefault="008D729E" w:rsidP="002C3EC4">
            <w:pPr>
              <w:keepNext/>
              <w:jc w:val="center"/>
            </w:pPr>
            <w:r>
              <w:t>Do Not Init</w:t>
            </w:r>
          </w:p>
        </w:tc>
      </w:tr>
    </w:tbl>
    <w:p w:rsidR="004952A2" w:rsidRDefault="008D729E" w:rsidP="00002ABD"/>
    <w:p w:rsidR="00406F39" w:rsidRDefault="008D729E" w:rsidP="00B9479B">
      <w:pPr>
        <w:pStyle w:val="Heading5"/>
      </w:pPr>
      <w:r w:rsidRPr="00B9479B">
        <w:t>NVM-REQ-345874/A-Color Constants</w:t>
      </w:r>
    </w:p>
    <w:p w:rsidR="00AE06BC" w:rsidRPr="00AE06BC" w:rsidRDefault="008D729E" w:rsidP="00AE06BC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536"/>
        <w:gridCol w:w="1154"/>
        <w:gridCol w:w="1102"/>
        <w:gridCol w:w="1260"/>
        <w:gridCol w:w="1514"/>
      </w:tblGrid>
      <w:tr w:rsidR="00792BC0" w:rsidTr="00DA1E11">
        <w:trPr>
          <w:cantSplit/>
          <w:trHeight w:val="461"/>
          <w:tblHeader/>
          <w:jc w:val="center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92BC0" w:rsidRDefault="008D729E" w:rsidP="00606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2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92BC0" w:rsidRDefault="008D729E" w:rsidP="00606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92BC0" w:rsidRDefault="008D729E" w:rsidP="00606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92BC0" w:rsidRDefault="008D729E" w:rsidP="00606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92BC0" w:rsidRDefault="008D729E" w:rsidP="00606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Resolution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92BC0" w:rsidRDefault="008D729E" w:rsidP="00606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 Value</w:t>
            </w:r>
          </w:p>
        </w:tc>
      </w:tr>
      <w:tr w:rsidR="00792BC0" w:rsidRPr="00F23BB7" w:rsidTr="00DA1E11">
        <w:trPr>
          <w:trHeight w:val="462"/>
          <w:jc w:val="center"/>
        </w:trPr>
        <w:tc>
          <w:tcPr>
            <w:tcW w:w="34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7F18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  <w:tc>
          <w:tcPr>
            <w:tcW w:w="2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Blue component of MyColor backlighting</w:t>
            </w:r>
          </w:p>
        </w:tc>
        <w:tc>
          <w:tcPr>
            <w:tcW w:w="11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1 – 5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Unitless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1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5</w:t>
            </w:r>
          </w:p>
        </w:tc>
      </w:tr>
      <w:tr w:rsidR="00792BC0" w:rsidRPr="00F23BB7" w:rsidTr="00DA1E11">
        <w:trPr>
          <w:trHeight w:val="462"/>
          <w:jc w:val="center"/>
        </w:trPr>
        <w:tc>
          <w:tcPr>
            <w:tcW w:w="34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7F18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</w:t>
            </w:r>
          </w:p>
        </w:tc>
        <w:tc>
          <w:tcPr>
            <w:tcW w:w="2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Green component of MyColor backlighting</w:t>
            </w:r>
          </w:p>
        </w:tc>
        <w:tc>
          <w:tcPr>
            <w:tcW w:w="11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1 – 5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Unitless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1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5</w:t>
            </w:r>
          </w:p>
        </w:tc>
      </w:tr>
      <w:tr w:rsidR="00792BC0" w:rsidRPr="00F23BB7" w:rsidTr="00DA1E11">
        <w:trPr>
          <w:trHeight w:val="462"/>
          <w:jc w:val="center"/>
        </w:trPr>
        <w:tc>
          <w:tcPr>
            <w:tcW w:w="34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7F18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2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 xml:space="preserve">Red component of MyColor </w:t>
            </w:r>
            <w:r>
              <w:t>backlighting</w:t>
            </w:r>
          </w:p>
        </w:tc>
        <w:tc>
          <w:tcPr>
            <w:tcW w:w="11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1 – 5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Unitless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606836">
            <w:pPr>
              <w:jc w:val="center"/>
            </w:pPr>
            <w:r>
              <w:t>1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792BC0" w:rsidRPr="00F23BB7" w:rsidRDefault="008D729E" w:rsidP="00F23BB7">
            <w:pPr>
              <w:jc w:val="center"/>
            </w:pPr>
            <w:r>
              <w:t>5</w:t>
            </w:r>
          </w:p>
        </w:tc>
      </w:tr>
    </w:tbl>
    <w:p w:rsidR="00991C4C" w:rsidRDefault="008D729E" w:rsidP="00C202FC"/>
    <w:p w:rsidR="00991C4C" w:rsidRDefault="008D729E">
      <w:pPr>
        <w:ind w:left="3165" w:hanging="2805"/>
      </w:pPr>
    </w:p>
    <w:p w:rsidR="00406F39" w:rsidRDefault="008D729E" w:rsidP="00B9479B">
      <w:pPr>
        <w:pStyle w:val="Heading4"/>
      </w:pPr>
      <w:r>
        <w:t>Reconfigurable Telltale</w:t>
      </w:r>
    </w:p>
    <w:p w:rsidR="006E4A26" w:rsidRDefault="008D729E">
      <w:pPr>
        <w:ind w:left="360" w:firstLine="576"/>
        <w:rPr>
          <w:rFonts w:cs="Arial"/>
          <w:sz w:val="16"/>
        </w:rPr>
      </w:pPr>
    </w:p>
    <w:p w:rsidR="006E4A26" w:rsidRDefault="008D729E" w:rsidP="006021E5">
      <w:pPr>
        <w:ind w:left="1440"/>
      </w:pPr>
      <w:r>
        <w:t>Not Applicable</w:t>
      </w:r>
    </w:p>
    <w:p w:rsidR="006E4A26" w:rsidRPr="00836F99" w:rsidRDefault="008D729E">
      <w:pPr>
        <w:ind w:left="360" w:firstLine="576"/>
        <w:rPr>
          <w:rFonts w:cs="Arial"/>
          <w:sz w:val="16"/>
          <w:szCs w:val="16"/>
        </w:rPr>
      </w:pPr>
    </w:p>
    <w:p w:rsidR="00406F39" w:rsidRDefault="008D729E" w:rsidP="00B9479B">
      <w:pPr>
        <w:pStyle w:val="Heading4"/>
      </w:pPr>
      <w:r>
        <w:t>Prove Out</w:t>
      </w:r>
    </w:p>
    <w:p w:rsidR="006E4A26" w:rsidRDefault="008D729E">
      <w:pPr>
        <w:ind w:left="360" w:firstLine="576"/>
        <w:rPr>
          <w:rFonts w:cs="Arial"/>
          <w:sz w:val="16"/>
        </w:rPr>
      </w:pPr>
    </w:p>
    <w:p w:rsidR="006E4A26" w:rsidRDefault="008D729E" w:rsidP="006021E5">
      <w:pPr>
        <w:ind w:left="1440"/>
      </w:pPr>
      <w:r>
        <w:t>Not A</w:t>
      </w:r>
      <w:r>
        <w:t>pplicable</w:t>
      </w:r>
    </w:p>
    <w:p w:rsidR="006E4A26" w:rsidRPr="00836F99" w:rsidRDefault="008D729E">
      <w:pPr>
        <w:ind w:left="360" w:firstLine="576"/>
        <w:rPr>
          <w:rFonts w:cs="Arial"/>
          <w:sz w:val="16"/>
          <w:szCs w:val="16"/>
        </w:rPr>
      </w:pPr>
    </w:p>
    <w:p w:rsidR="00406F39" w:rsidRDefault="008D729E" w:rsidP="00B9479B">
      <w:pPr>
        <w:pStyle w:val="Heading4"/>
      </w:pPr>
      <w:r>
        <w:t>Message Center Msg</w:t>
      </w:r>
    </w:p>
    <w:p w:rsidR="006E4A26" w:rsidRDefault="008D729E">
      <w:pPr>
        <w:pStyle w:val="Footer"/>
        <w:rPr>
          <w:rFonts w:ascii="Times New Roman" w:hAnsi="Times New Roman"/>
          <w:szCs w:val="20"/>
        </w:rPr>
      </w:pPr>
    </w:p>
    <w:p w:rsidR="006E4A26" w:rsidRDefault="008D729E" w:rsidP="006021E5">
      <w:pPr>
        <w:ind w:left="1440"/>
        <w:rPr>
          <w:rFonts w:cs="Arial"/>
        </w:rPr>
      </w:pPr>
      <w:r>
        <w:rPr>
          <w:rFonts w:cs="Arial"/>
        </w:rPr>
        <w:t>Not Applicable</w:t>
      </w:r>
      <w:r>
        <w:rPr>
          <w:rFonts w:cs="Arial"/>
        </w:rPr>
        <w:tab/>
      </w:r>
    </w:p>
    <w:p w:rsidR="006E4A26" w:rsidRPr="00836F99" w:rsidRDefault="008D729E">
      <w:pPr>
        <w:ind w:left="1800"/>
        <w:rPr>
          <w:sz w:val="16"/>
          <w:szCs w:val="16"/>
        </w:rPr>
      </w:pPr>
    </w:p>
    <w:p w:rsidR="00406F39" w:rsidRDefault="008D729E" w:rsidP="00B9479B">
      <w:pPr>
        <w:pStyle w:val="Heading2"/>
      </w:pPr>
      <w:r>
        <w:t>Error Handling</w:t>
      </w:r>
    </w:p>
    <w:p w:rsidR="00744E18" w:rsidRDefault="008D729E" w:rsidP="00744E18">
      <w:pPr>
        <w:ind w:left="1440"/>
        <w:rPr>
          <w:rFonts w:cs="Arial"/>
        </w:rPr>
      </w:pPr>
    </w:p>
    <w:p w:rsidR="006E4A26" w:rsidRPr="00744E18" w:rsidRDefault="008D729E" w:rsidP="00744E18">
      <w:pPr>
        <w:ind w:left="1440"/>
        <w:rPr>
          <w:rFonts w:cs="Arial"/>
          <w:sz w:val="16"/>
          <w:szCs w:val="16"/>
        </w:rPr>
      </w:pPr>
      <w:r w:rsidRPr="00744E18">
        <w:rPr>
          <w:rFonts w:cs="Arial"/>
        </w:rPr>
        <w:t>None</w:t>
      </w:r>
      <w:r w:rsidRPr="00744E18">
        <w:rPr>
          <w:rFonts w:cs="Arial"/>
        </w:rPr>
        <w:br/>
      </w:r>
    </w:p>
    <w:p w:rsidR="00406F39" w:rsidRDefault="008D729E" w:rsidP="00B9479B">
      <w:pPr>
        <w:pStyle w:val="Heading2"/>
      </w:pPr>
      <w:r>
        <w:t>Diagnostics</w:t>
      </w:r>
    </w:p>
    <w:p w:rsidR="00406F39" w:rsidRDefault="008D729E" w:rsidP="00B9479B">
      <w:pPr>
        <w:pStyle w:val="Heading3"/>
      </w:pPr>
      <w:r>
        <w:t>Self Test</w:t>
      </w:r>
    </w:p>
    <w:p w:rsidR="006E4A26" w:rsidRDefault="008D729E">
      <w:pPr>
        <w:ind w:left="360"/>
        <w:rPr>
          <w:sz w:val="16"/>
        </w:rPr>
      </w:pPr>
    </w:p>
    <w:p w:rsidR="006E4A26" w:rsidRDefault="008D729E">
      <w:pPr>
        <w:ind w:left="1368" w:firstLine="72"/>
      </w:pPr>
      <w:r>
        <w:t>None</w:t>
      </w:r>
    </w:p>
    <w:p w:rsidR="006E4A26" w:rsidRPr="00836F99" w:rsidRDefault="008D729E">
      <w:pPr>
        <w:ind w:left="360"/>
        <w:rPr>
          <w:sz w:val="16"/>
          <w:szCs w:val="16"/>
        </w:rPr>
      </w:pPr>
    </w:p>
    <w:p w:rsidR="00406F39" w:rsidRDefault="008D729E" w:rsidP="00B9479B">
      <w:pPr>
        <w:pStyle w:val="Heading3"/>
      </w:pPr>
      <w:r>
        <w:t>Engineering Test Mode</w:t>
      </w:r>
    </w:p>
    <w:p w:rsidR="00B400F6" w:rsidRDefault="008D729E" w:rsidP="00B400F6">
      <w:pPr>
        <w:ind w:left="1440"/>
      </w:pPr>
    </w:p>
    <w:p w:rsidR="00B400F6" w:rsidRDefault="008D729E" w:rsidP="00B400F6">
      <w:pPr>
        <w:ind w:left="1368" w:firstLine="72"/>
      </w:pPr>
      <w:r>
        <w:t>None</w:t>
      </w:r>
    </w:p>
    <w:p w:rsidR="006E4A26" w:rsidRPr="00836F99" w:rsidRDefault="008D729E">
      <w:pPr>
        <w:ind w:left="1368"/>
        <w:rPr>
          <w:sz w:val="16"/>
          <w:szCs w:val="16"/>
        </w:rPr>
      </w:pPr>
    </w:p>
    <w:p w:rsidR="00406F39" w:rsidRDefault="008D729E" w:rsidP="00B9479B">
      <w:pPr>
        <w:pStyle w:val="Heading3"/>
      </w:pPr>
      <w:r>
        <w:t>Part II Performance</w:t>
      </w:r>
    </w:p>
    <w:p w:rsidR="006E4A26" w:rsidRPr="00836F99" w:rsidRDefault="008D729E" w:rsidP="007A5BEE">
      <w:pPr>
        <w:rPr>
          <w:rFonts w:cs="Arial"/>
          <w:sz w:val="16"/>
          <w:szCs w:val="16"/>
        </w:rPr>
      </w:pPr>
    </w:p>
    <w:p w:rsidR="006E4A26" w:rsidRDefault="008D729E" w:rsidP="00B400F6">
      <w:pPr>
        <w:ind w:left="1440"/>
        <w:rPr>
          <w:rFonts w:cs="Arial"/>
        </w:rPr>
      </w:pPr>
      <w:r>
        <w:rPr>
          <w:rFonts w:cs="Arial"/>
        </w:rPr>
        <w:t>None</w:t>
      </w:r>
    </w:p>
    <w:p w:rsidR="00B400F6" w:rsidRDefault="008D729E" w:rsidP="00B400F6">
      <w:pPr>
        <w:ind w:left="1440"/>
        <w:rPr>
          <w:rFonts w:cs="Arial"/>
        </w:rPr>
      </w:pPr>
    </w:p>
    <w:p w:rsidR="00406F39" w:rsidRDefault="008D729E" w:rsidP="00B9479B">
      <w:pPr>
        <w:pStyle w:val="Heading2"/>
      </w:pPr>
      <w:r>
        <w:t>Reference Specification</w:t>
      </w:r>
    </w:p>
    <w:p w:rsidR="00F46637" w:rsidRDefault="008D729E" w:rsidP="00F46637">
      <w:pPr>
        <w:ind w:left="1440"/>
        <w:rPr>
          <w:rFonts w:cs="Arial"/>
        </w:rPr>
      </w:pPr>
    </w:p>
    <w:p w:rsidR="006E4A26" w:rsidRPr="00F46637" w:rsidRDefault="008D729E" w:rsidP="00F46637">
      <w:pPr>
        <w:ind w:left="1440"/>
        <w:rPr>
          <w:rFonts w:cs="Arial"/>
        </w:rPr>
      </w:pPr>
      <w:r w:rsidRPr="00F46637">
        <w:rPr>
          <w:rFonts w:cs="Arial"/>
        </w:rPr>
        <w:t>ES-AR3T-1A278-A</w:t>
      </w:r>
    </w:p>
    <w:p w:rsidR="00A8092A" w:rsidRDefault="008D729E" w:rsidP="002B438C">
      <w:pPr>
        <w:rPr>
          <w:rFonts w:cs="Arial"/>
        </w:rPr>
      </w:pPr>
    </w:p>
    <w:p w:rsidR="001E508C" w:rsidRDefault="008D729E" w:rsidP="002B438C">
      <w:pPr>
        <w:rPr>
          <w:rFonts w:cs="Arial"/>
        </w:rPr>
      </w:pPr>
      <w:r>
        <w:rPr>
          <w:rFonts w:cs="Arial"/>
        </w:rPr>
        <w:br w:type="page"/>
      </w:r>
    </w:p>
    <w:p w:rsidR="00406F39" w:rsidRDefault="008D729E" w:rsidP="00B9479B">
      <w:pPr>
        <w:pStyle w:val="Heading2"/>
      </w:pPr>
      <w:r>
        <w:lastRenderedPageBreak/>
        <w:t>Revision History</w:t>
      </w:r>
    </w:p>
    <w:p w:rsidR="006E4A26" w:rsidRDefault="008D72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SPSS Module Revision History</w:t>
      </w:r>
    </w:p>
    <w:p w:rsidR="006E4A26" w:rsidRDefault="008D729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656"/>
        <w:gridCol w:w="6300"/>
        <w:gridCol w:w="1350"/>
      </w:tblGrid>
      <w:tr w:rsidR="006E4A26" w:rsidTr="00DA1E11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4A26" w:rsidRDefault="008D729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Revision Level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4A26" w:rsidRDefault="008D729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</w:t>
            </w:r>
          </w:p>
        </w:tc>
        <w:tc>
          <w:tcPr>
            <w:tcW w:w="6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4A26" w:rsidRDefault="008D729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Change Description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4A26" w:rsidRDefault="008D729E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</w:tr>
      <w:tr w:rsidR="006E4A26" w:rsidTr="00DA1E11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E4A26" w:rsidRDefault="008D72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E4A26" w:rsidRDefault="008D729E">
            <w:pPr>
              <w:rPr>
                <w:rFonts w:cs="Arial"/>
              </w:rPr>
            </w:pPr>
            <w:r>
              <w:rPr>
                <w:rFonts w:cs="Arial"/>
              </w:rPr>
              <w:t>T.Budzier</w:t>
            </w:r>
            <w:r>
              <w:rPr>
                <w:rFonts w:cs="Arial"/>
              </w:rPr>
              <w:t xml:space="preserve">/S. </w:t>
            </w:r>
            <w:r>
              <w:rPr>
                <w:rFonts w:cs="Arial"/>
              </w:rPr>
              <w:t>Watkins</w:t>
            </w:r>
          </w:p>
        </w:tc>
        <w:tc>
          <w:tcPr>
            <w:tcW w:w="63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E4A26" w:rsidRDefault="008D729E">
            <w:pPr>
              <w:rPr>
                <w:rFonts w:cs="Arial"/>
              </w:rPr>
            </w:pPr>
            <w:r>
              <w:rPr>
                <w:rFonts w:cs="Arial"/>
              </w:rPr>
              <w:t>Initial Release</w:t>
            </w:r>
            <w:r>
              <w:rPr>
                <w:rFonts w:cs="Arial"/>
              </w:rPr>
              <w:t>.  Initial assumptions:</w:t>
            </w:r>
          </w:p>
          <w:p w:rsidR="00EA3651" w:rsidRDefault="008D729E" w:rsidP="00EA3651">
            <w:r>
              <w:t>1. Center gauge will get My Color only at night similar to cluster and intensity specification is same as main cluster.</w:t>
            </w:r>
            <w:r>
              <w:rPr>
                <w:color w:val="1F497D"/>
              </w:rPr>
              <w:t xml:space="preserve"> </w:t>
            </w:r>
            <w:r>
              <w:rPr>
                <w:color w:val="FF0000"/>
              </w:rPr>
              <w:t>Correct</w:t>
            </w:r>
            <w:r>
              <w:br/>
              <w:t>2. Day time will be white lighting same as cluster.</w:t>
            </w:r>
            <w:r>
              <w:rPr>
                <w:color w:val="1F497D"/>
              </w:rPr>
              <w:t xml:space="preserve"> </w:t>
            </w:r>
            <w:r>
              <w:rPr>
                <w:color w:val="FF0000"/>
              </w:rPr>
              <w:t>Correct</w:t>
            </w:r>
            <w:r>
              <w:br/>
              <w:t>3.</w:t>
            </w:r>
            <w:r>
              <w:rPr>
                <w:b/>
                <w:bCs/>
              </w:rPr>
              <w:t xml:space="preserve"> No red gauge warni</w:t>
            </w:r>
            <w:r>
              <w:rPr>
                <w:b/>
                <w:bCs/>
              </w:rPr>
              <w:t>ng</w:t>
            </w:r>
            <w:r>
              <w:t xml:space="preserve"> (gauge turning to red) required for center cluster at any condition.</w:t>
            </w:r>
            <w:r>
              <w:rPr>
                <w:color w:val="1F497D"/>
              </w:rPr>
              <w:t xml:space="preserve">  </w:t>
            </w:r>
            <w:r>
              <w:rPr>
                <w:color w:val="FF0000"/>
              </w:rPr>
              <w:t>Correct</w:t>
            </w:r>
            <w:r>
              <w:br/>
              <w:t>4. Center gauge will have clear lens same as cluster.</w:t>
            </w:r>
            <w:r>
              <w:rPr>
                <w:color w:val="1F497D"/>
              </w:rPr>
              <w:t xml:space="preserve">  </w:t>
            </w:r>
            <w:r>
              <w:rPr>
                <w:color w:val="FF0000"/>
              </w:rPr>
              <w:t>Correct</w:t>
            </w:r>
            <w:r>
              <w:br/>
              <w:t>5. The pointers will be red color same as cluster.</w:t>
            </w:r>
            <w:r>
              <w:rPr>
                <w:color w:val="1F497D"/>
              </w:rPr>
              <w:t xml:space="preserve">  </w:t>
            </w:r>
            <w:r>
              <w:rPr>
                <w:color w:val="FF0000"/>
              </w:rPr>
              <w:t>Correct</w:t>
            </w:r>
          </w:p>
          <w:p w:rsidR="00EA3651" w:rsidRDefault="008D729E">
            <w:pPr>
              <w:rPr>
                <w:rFonts w:cs="Arial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E4A26" w:rsidRDefault="008D72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3/5/2013</w:t>
            </w:r>
          </w:p>
        </w:tc>
      </w:tr>
      <w:tr w:rsidR="00F418E0" w:rsidTr="00DA1E11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18E0" w:rsidRDefault="008D72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18E0" w:rsidRDefault="008D729E">
            <w:pPr>
              <w:rPr>
                <w:rFonts w:cs="Arial"/>
              </w:rPr>
            </w:pPr>
            <w:r>
              <w:rPr>
                <w:rFonts w:cs="Arial"/>
              </w:rPr>
              <w:t>A. Venuturupalli</w:t>
            </w:r>
          </w:p>
          <w:p w:rsidR="00F1229D" w:rsidRDefault="008D729E">
            <w:pPr>
              <w:rPr>
                <w:rFonts w:cs="Arial"/>
              </w:rPr>
            </w:pPr>
            <w:r>
              <w:rPr>
                <w:rFonts w:cs="Arial"/>
              </w:rPr>
              <w:t>S. Watkins</w:t>
            </w:r>
          </w:p>
        </w:tc>
        <w:tc>
          <w:tcPr>
            <w:tcW w:w="63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18E0" w:rsidRDefault="008D729E">
            <w:pPr>
              <w:rPr>
                <w:rFonts w:cs="Arial"/>
              </w:rPr>
            </w:pPr>
            <w:r>
              <w:rPr>
                <w:rFonts w:cs="Arial"/>
              </w:rPr>
              <w:t xml:space="preserve">This </w:t>
            </w:r>
            <w:r>
              <w:rPr>
                <w:rFonts w:cs="Arial"/>
              </w:rPr>
              <w:t>update is to correct an</w:t>
            </w:r>
            <w:r>
              <w:rPr>
                <w:rFonts w:cs="Arial"/>
              </w:rPr>
              <w:t xml:space="preserve"> inconsistency between the MyColor IPC STSS (v4.1) and MyColor ICM STSS (v1.0) regarding the CAN signal used to determine Day/Night.</w:t>
            </w:r>
          </w:p>
          <w:p w:rsidR="00F1229D" w:rsidRDefault="008D729E">
            <w:pPr>
              <w:rPr>
                <w:rFonts w:cs="Arial"/>
              </w:rPr>
            </w:pPr>
            <w:r>
              <w:rPr>
                <w:rFonts w:cs="Arial"/>
              </w:rPr>
              <w:t xml:space="preserve">Added the statement below to </w:t>
            </w:r>
            <w:r>
              <w:rPr>
                <w:rFonts w:cs="Arial"/>
              </w:rPr>
              <w:t>Section 1.1 and Section 1.2.5.2</w:t>
            </w:r>
            <w:r>
              <w:rPr>
                <w:rFonts w:cs="Arial"/>
              </w:rPr>
              <w:t xml:space="preserve"> in the document:</w:t>
            </w:r>
          </w:p>
          <w:p w:rsidR="00F1229D" w:rsidRDefault="008D729E" w:rsidP="00D8339B">
            <w:pPr>
              <w:rPr>
                <w:rFonts w:cs="Arial"/>
              </w:rPr>
            </w:pPr>
            <w:r w:rsidRPr="00F1229D">
              <w:rPr>
                <w:rFonts w:cs="Arial"/>
                <w:highlight w:val="yellow"/>
              </w:rPr>
              <w:t xml:space="preserve">“MyColor illumination </w:t>
            </w:r>
            <w:r w:rsidRPr="00F1229D">
              <w:rPr>
                <w:rFonts w:cs="Arial"/>
                <w:highlight w:val="yellow"/>
              </w:rPr>
              <w:t>shall only be shown during nighttime, determine</w:t>
            </w:r>
            <w:r>
              <w:rPr>
                <w:rFonts w:cs="Arial"/>
                <w:highlight w:val="yellow"/>
              </w:rPr>
              <w:t>d by CAN signal Dimming_Lvl</w:t>
            </w:r>
            <w:r>
              <w:rPr>
                <w:rFonts w:cs="Arial"/>
                <w:highlight w:val="yellow"/>
              </w:rPr>
              <w:t>.</w:t>
            </w:r>
            <w:r w:rsidRPr="00F1229D">
              <w:rPr>
                <w:rFonts w:cs="Arial"/>
                <w:highlight w:val="yellow"/>
              </w:rPr>
              <w:t>”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18E0" w:rsidRDefault="008D72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10/31/2014</w:t>
            </w:r>
          </w:p>
        </w:tc>
      </w:tr>
      <w:tr w:rsidR="00F418E0" w:rsidTr="00DA1E11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18E0" w:rsidRDefault="008D72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18E0" w:rsidRDefault="008D729E">
            <w:pPr>
              <w:rPr>
                <w:rFonts w:cs="Arial"/>
              </w:rPr>
            </w:pPr>
            <w:r>
              <w:rPr>
                <w:rFonts w:cs="Arial"/>
              </w:rPr>
              <w:t>S. Watkins</w:t>
            </w:r>
          </w:p>
        </w:tc>
        <w:tc>
          <w:tcPr>
            <w:tcW w:w="63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18E0" w:rsidRDefault="008D729E">
            <w:pPr>
              <w:rPr>
                <w:rFonts w:cs="Arial"/>
              </w:rPr>
            </w:pPr>
            <w:r>
              <w:rPr>
                <w:rFonts w:cs="Arial"/>
              </w:rPr>
              <w:t>MY19 Mustang Feature Car (Bullet) is adding a pre-defined color of “Highland Green”.  Thus, we are adding this as “Color8”.</w:t>
            </w:r>
          </w:p>
          <w:p w:rsidR="00816EBD" w:rsidRDefault="008D729E">
            <w:pPr>
              <w:rPr>
                <w:rFonts w:cs="Arial"/>
              </w:rPr>
            </w:pPr>
            <w:r>
              <w:rPr>
                <w:rFonts w:cs="Arial"/>
              </w:rPr>
              <w:t xml:space="preserve">Approved per DI CC 9/7/2017 </w:t>
            </w:r>
            <w:r>
              <w:rPr>
                <w:rFonts w:cs="Arial"/>
              </w:rPr>
              <w:t>(Offline approval 9/5/2017).</w:t>
            </w:r>
          </w:p>
          <w:p w:rsidR="002E2CC2" w:rsidRDefault="008D729E">
            <w:pPr>
              <w:rPr>
                <w:rFonts w:cs="Arial"/>
              </w:rPr>
            </w:pPr>
            <w:r>
              <w:rPr>
                <w:rFonts w:cs="Arial"/>
              </w:rPr>
              <w:t xml:space="preserve">Changes shown in </w:t>
            </w:r>
            <w:r w:rsidRPr="005E2F7B">
              <w:rPr>
                <w:rFonts w:cs="Arial"/>
                <w:highlight w:val="green"/>
              </w:rPr>
              <w:t>green:</w:t>
            </w:r>
          </w:p>
          <w:p w:rsidR="002E2CC2" w:rsidRDefault="008D729E" w:rsidP="008D729E">
            <w:pPr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Section 1.1 – Updated </w:t>
            </w:r>
            <w:r>
              <w:rPr>
                <w:rFonts w:cs="Arial"/>
              </w:rPr>
              <w:t>descrip</w:t>
            </w:r>
            <w:r>
              <w:rPr>
                <w:rFonts w:cs="Arial"/>
              </w:rPr>
              <w:t>tion to show there are now 8</w:t>
            </w:r>
            <w:r>
              <w:rPr>
                <w:rFonts w:cs="Arial"/>
              </w:rPr>
              <w:t xml:space="preserve"> pre-defined colors</w:t>
            </w:r>
          </w:p>
          <w:p w:rsidR="002E2CC2" w:rsidRDefault="008D729E" w:rsidP="008D729E">
            <w:pPr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Section 1.1.2 – Added new state 0x9 of “Highland Green” to </w:t>
            </w:r>
            <w:r w:rsidRPr="002E2CC2">
              <w:rPr>
                <w:rFonts w:cs="Arial"/>
              </w:rPr>
              <w:t>CurrentColor_CmdGage</w:t>
            </w:r>
            <w:r>
              <w:rPr>
                <w:rFonts w:cs="Arial"/>
              </w:rPr>
              <w:t>.</w:t>
            </w:r>
          </w:p>
          <w:p w:rsidR="002E2CC2" w:rsidRDefault="008D729E" w:rsidP="008D729E">
            <w:pPr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Section 1.2.5.1.2 – Gauge_Color – Added row </w:t>
            </w:r>
            <w:r>
              <w:rPr>
                <w:rFonts w:cs="Arial"/>
              </w:rPr>
              <w:t>for Color8 of Highland Green.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418E0" w:rsidRDefault="008D72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9/5/2017</w:t>
            </w:r>
          </w:p>
        </w:tc>
      </w:tr>
      <w:tr w:rsidR="006021E5" w:rsidTr="00DA1E11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021E5" w:rsidRDefault="008D72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021E5" w:rsidRDefault="008D729E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63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021E5" w:rsidRDefault="008D729E">
            <w:pPr>
              <w:rPr>
                <w:rFonts w:cs="Arial"/>
              </w:rPr>
            </w:pPr>
            <w:r>
              <w:rPr>
                <w:rFonts w:cs="Arial"/>
              </w:rPr>
              <w:t>Initial release for VSEM requirements migration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021E5" w:rsidRDefault="008D72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2/28/2019</w:t>
            </w:r>
          </w:p>
        </w:tc>
      </w:tr>
    </w:tbl>
    <w:p w:rsidR="005576A5" w:rsidRDefault="008D729E" w:rsidP="00380873">
      <w:pPr>
        <w:pStyle w:val="Header"/>
        <w:tabs>
          <w:tab w:val="clear" w:pos="4320"/>
          <w:tab w:val="clear" w:pos="8640"/>
        </w:tabs>
        <w:jc w:val="center"/>
      </w:pPr>
    </w:p>
    <w:p w:rsidR="00AB1E94" w:rsidRPr="00AE06BC" w:rsidRDefault="008D729E" w:rsidP="00406F39"/>
    <w:sectPr w:rsidR="00AB1E94" w:rsidRPr="00AE06BC" w:rsidSect="00DA1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29E" w:rsidRDefault="008D729E" w:rsidP="0085312A">
      <w:r>
        <w:separator/>
      </w:r>
    </w:p>
  </w:endnote>
  <w:endnote w:type="continuationSeparator" w:id="0">
    <w:p w:rsidR="008D729E" w:rsidRDefault="008D729E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E11" w:rsidRDefault="00DA1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0624EC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0624EC">
            <w:rPr>
              <w:b/>
              <w:smallCaps/>
              <w:sz w:val="16"/>
            </w:rPr>
            <w:fldChar w:fldCharType="begin"/>
          </w:r>
          <w:r w:rsidR="000624EC">
            <w:rPr>
              <w:b/>
              <w:smallCaps/>
              <w:sz w:val="16"/>
            </w:rPr>
            <w:instrText xml:space="preserve"> FILENAME  \* Upper  \* MERGEFORMAT </w:instrText>
          </w:r>
          <w:r w:rsidR="000624EC">
            <w:rPr>
              <w:b/>
              <w:smallCaps/>
              <w:sz w:val="16"/>
            </w:rPr>
            <w:fldChar w:fldCharType="separate"/>
          </w:r>
          <w:r w:rsidR="00DA1E11">
            <w:rPr>
              <w:b/>
              <w:smallCaps/>
              <w:noProof/>
              <w:sz w:val="16"/>
            </w:rPr>
            <w:t>630848_A_001_MYCOLOR LIGHTING FOR GAUGE PACK - CGEA1.3_V2.1</w:t>
          </w:r>
          <w:r w:rsidR="000624EC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8F214E">
            <w:rPr>
              <w:noProof/>
              <w:szCs w:val="20"/>
            </w:rPr>
            <w:t>2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8F214E">
            <w:rPr>
              <w:noProof/>
              <w:szCs w:val="20"/>
            </w:rPr>
            <w:t>10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E11" w:rsidRDefault="00DA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29E" w:rsidRDefault="008D729E" w:rsidP="0085312A">
      <w:r>
        <w:separator/>
      </w:r>
    </w:p>
  </w:footnote>
  <w:footnote w:type="continuationSeparator" w:id="0">
    <w:p w:rsidR="008D729E" w:rsidRDefault="008D729E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E11" w:rsidRDefault="00DA1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130ABC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 xml:space="preserve">Subsystem </w:t>
          </w:r>
          <w:r w:rsidR="002E3631">
            <w:rPr>
              <w:rFonts w:cs="Arial"/>
              <w:b/>
              <w:sz w:val="16"/>
              <w:szCs w:val="16"/>
            </w:rPr>
            <w:t>Technology</w:t>
          </w:r>
          <w:r>
            <w:rPr>
              <w:rFonts w:cs="Arial"/>
              <w:b/>
              <w:sz w:val="16"/>
              <w:szCs w:val="16"/>
            </w:rPr>
            <w:t xml:space="preserve"> Specific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E11" w:rsidRDefault="00DA1E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8B6007"/>
    <w:multiLevelType w:val="hybridMultilevel"/>
    <w:tmpl w:val="A3C403E0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5EE76020"/>
    <w:multiLevelType w:val="hybridMultilevel"/>
    <w:tmpl w:val="3836B836"/>
    <w:lvl w:ilvl="0" w:tplc="0409000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5EE76057"/>
    <w:multiLevelType w:val="hybridMultilevel"/>
    <w:tmpl w:val="3836B836"/>
    <w:lvl w:ilvl="0" w:tplc="0409000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6A8B6066"/>
    <w:multiLevelType w:val="hybridMultilevel"/>
    <w:tmpl w:val="B1FE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1899"/>
    <w:rsid w:val="0000741C"/>
    <w:rsid w:val="00012850"/>
    <w:rsid w:val="00040E47"/>
    <w:rsid w:val="00047707"/>
    <w:rsid w:val="00051423"/>
    <w:rsid w:val="00060726"/>
    <w:rsid w:val="000624EC"/>
    <w:rsid w:val="00073FCC"/>
    <w:rsid w:val="00075586"/>
    <w:rsid w:val="000915C7"/>
    <w:rsid w:val="000976FD"/>
    <w:rsid w:val="000A19D2"/>
    <w:rsid w:val="000A2DD3"/>
    <w:rsid w:val="000A4DC6"/>
    <w:rsid w:val="000B7DB2"/>
    <w:rsid w:val="000D1B75"/>
    <w:rsid w:val="000D1DC3"/>
    <w:rsid w:val="000D5D1D"/>
    <w:rsid w:val="000F6E6C"/>
    <w:rsid w:val="00127E22"/>
    <w:rsid w:val="00130ABC"/>
    <w:rsid w:val="00147438"/>
    <w:rsid w:val="00151537"/>
    <w:rsid w:val="00160195"/>
    <w:rsid w:val="00180113"/>
    <w:rsid w:val="00187ABF"/>
    <w:rsid w:val="00191908"/>
    <w:rsid w:val="00193F35"/>
    <w:rsid w:val="001C09E8"/>
    <w:rsid w:val="001C2FEC"/>
    <w:rsid w:val="001C5DE9"/>
    <w:rsid w:val="001D2426"/>
    <w:rsid w:val="001D5128"/>
    <w:rsid w:val="001D67E7"/>
    <w:rsid w:val="001E44EF"/>
    <w:rsid w:val="001E61DA"/>
    <w:rsid w:val="001E7122"/>
    <w:rsid w:val="001F31C1"/>
    <w:rsid w:val="002003BE"/>
    <w:rsid w:val="00200BF0"/>
    <w:rsid w:val="002034BF"/>
    <w:rsid w:val="00222D21"/>
    <w:rsid w:val="00224855"/>
    <w:rsid w:val="0022706C"/>
    <w:rsid w:val="00231519"/>
    <w:rsid w:val="00231ABD"/>
    <w:rsid w:val="00232B02"/>
    <w:rsid w:val="002566C9"/>
    <w:rsid w:val="002724B4"/>
    <w:rsid w:val="00287E49"/>
    <w:rsid w:val="002A1081"/>
    <w:rsid w:val="002A6CE2"/>
    <w:rsid w:val="002B075A"/>
    <w:rsid w:val="002C2846"/>
    <w:rsid w:val="002E3631"/>
    <w:rsid w:val="002F1CF2"/>
    <w:rsid w:val="002F5B92"/>
    <w:rsid w:val="00305CED"/>
    <w:rsid w:val="003158E1"/>
    <w:rsid w:val="00333D30"/>
    <w:rsid w:val="00334805"/>
    <w:rsid w:val="0034057F"/>
    <w:rsid w:val="003608D2"/>
    <w:rsid w:val="00365638"/>
    <w:rsid w:val="00365F72"/>
    <w:rsid w:val="003874CD"/>
    <w:rsid w:val="0039184A"/>
    <w:rsid w:val="003B50FC"/>
    <w:rsid w:val="003C0C76"/>
    <w:rsid w:val="003D40EC"/>
    <w:rsid w:val="003D443B"/>
    <w:rsid w:val="003D5A35"/>
    <w:rsid w:val="003F27EF"/>
    <w:rsid w:val="003F3DAC"/>
    <w:rsid w:val="0040647E"/>
    <w:rsid w:val="00411B77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A7FDC"/>
    <w:rsid w:val="004B0BB5"/>
    <w:rsid w:val="004B4BAD"/>
    <w:rsid w:val="004C4667"/>
    <w:rsid w:val="004D317A"/>
    <w:rsid w:val="004F3318"/>
    <w:rsid w:val="00502E45"/>
    <w:rsid w:val="0051633C"/>
    <w:rsid w:val="005241ED"/>
    <w:rsid w:val="005274A4"/>
    <w:rsid w:val="00530C8E"/>
    <w:rsid w:val="0054724F"/>
    <w:rsid w:val="00550DF3"/>
    <w:rsid w:val="0055272B"/>
    <w:rsid w:val="00554F13"/>
    <w:rsid w:val="00557295"/>
    <w:rsid w:val="00572782"/>
    <w:rsid w:val="0057297D"/>
    <w:rsid w:val="00572B44"/>
    <w:rsid w:val="00574CEC"/>
    <w:rsid w:val="00580D99"/>
    <w:rsid w:val="00583AF9"/>
    <w:rsid w:val="00583BFD"/>
    <w:rsid w:val="005846C1"/>
    <w:rsid w:val="00586F13"/>
    <w:rsid w:val="005A0EAE"/>
    <w:rsid w:val="005B303D"/>
    <w:rsid w:val="005C5317"/>
    <w:rsid w:val="005D1976"/>
    <w:rsid w:val="005E2423"/>
    <w:rsid w:val="005E347A"/>
    <w:rsid w:val="005E7E7B"/>
    <w:rsid w:val="005F0FF4"/>
    <w:rsid w:val="005F3200"/>
    <w:rsid w:val="00600FF1"/>
    <w:rsid w:val="00605610"/>
    <w:rsid w:val="00625C03"/>
    <w:rsid w:val="00626B99"/>
    <w:rsid w:val="0065745C"/>
    <w:rsid w:val="00667EB3"/>
    <w:rsid w:val="00670310"/>
    <w:rsid w:val="00670A7E"/>
    <w:rsid w:val="00671D6F"/>
    <w:rsid w:val="00681EFD"/>
    <w:rsid w:val="00697EB8"/>
    <w:rsid w:val="006B0670"/>
    <w:rsid w:val="006B4B0D"/>
    <w:rsid w:val="006B7C53"/>
    <w:rsid w:val="006E001C"/>
    <w:rsid w:val="00704BFF"/>
    <w:rsid w:val="0071307B"/>
    <w:rsid w:val="00715382"/>
    <w:rsid w:val="007229FE"/>
    <w:rsid w:val="00725E79"/>
    <w:rsid w:val="0072656E"/>
    <w:rsid w:val="00731D4C"/>
    <w:rsid w:val="00736244"/>
    <w:rsid w:val="007559D3"/>
    <w:rsid w:val="00771690"/>
    <w:rsid w:val="007743BC"/>
    <w:rsid w:val="0077540C"/>
    <w:rsid w:val="00782DC5"/>
    <w:rsid w:val="007941DE"/>
    <w:rsid w:val="00795A3E"/>
    <w:rsid w:val="007B33BD"/>
    <w:rsid w:val="007B6258"/>
    <w:rsid w:val="007B6EC7"/>
    <w:rsid w:val="007C2C46"/>
    <w:rsid w:val="007E4298"/>
    <w:rsid w:val="007E6833"/>
    <w:rsid w:val="00835385"/>
    <w:rsid w:val="008443AB"/>
    <w:rsid w:val="008460A7"/>
    <w:rsid w:val="0085312A"/>
    <w:rsid w:val="00857564"/>
    <w:rsid w:val="0086391B"/>
    <w:rsid w:val="008734F4"/>
    <w:rsid w:val="008750BD"/>
    <w:rsid w:val="00881C55"/>
    <w:rsid w:val="0088336A"/>
    <w:rsid w:val="0088663C"/>
    <w:rsid w:val="0089619C"/>
    <w:rsid w:val="008A25D6"/>
    <w:rsid w:val="008A77F0"/>
    <w:rsid w:val="008B0F55"/>
    <w:rsid w:val="008B2038"/>
    <w:rsid w:val="008C133C"/>
    <w:rsid w:val="008C3246"/>
    <w:rsid w:val="008C32D4"/>
    <w:rsid w:val="008C3FFE"/>
    <w:rsid w:val="008C5B86"/>
    <w:rsid w:val="008C66BC"/>
    <w:rsid w:val="008D1E1E"/>
    <w:rsid w:val="008D729E"/>
    <w:rsid w:val="008F1E76"/>
    <w:rsid w:val="008F214E"/>
    <w:rsid w:val="008F283C"/>
    <w:rsid w:val="008F4507"/>
    <w:rsid w:val="00902826"/>
    <w:rsid w:val="00910DA3"/>
    <w:rsid w:val="009137B0"/>
    <w:rsid w:val="00935347"/>
    <w:rsid w:val="0093603B"/>
    <w:rsid w:val="009503AA"/>
    <w:rsid w:val="009511A4"/>
    <w:rsid w:val="009621DC"/>
    <w:rsid w:val="009731C0"/>
    <w:rsid w:val="009765B1"/>
    <w:rsid w:val="00976A71"/>
    <w:rsid w:val="00986933"/>
    <w:rsid w:val="00987E1F"/>
    <w:rsid w:val="00990BB4"/>
    <w:rsid w:val="0099248E"/>
    <w:rsid w:val="009A3137"/>
    <w:rsid w:val="009C5F29"/>
    <w:rsid w:val="009C63A8"/>
    <w:rsid w:val="009C78FC"/>
    <w:rsid w:val="009C7FD5"/>
    <w:rsid w:val="009D200D"/>
    <w:rsid w:val="009D2139"/>
    <w:rsid w:val="009D4120"/>
    <w:rsid w:val="009E4721"/>
    <w:rsid w:val="009E757D"/>
    <w:rsid w:val="009F1431"/>
    <w:rsid w:val="00A306EA"/>
    <w:rsid w:val="00A43BD7"/>
    <w:rsid w:val="00A43CEA"/>
    <w:rsid w:val="00A804C1"/>
    <w:rsid w:val="00A814BF"/>
    <w:rsid w:val="00A927DD"/>
    <w:rsid w:val="00AA7830"/>
    <w:rsid w:val="00AB12B6"/>
    <w:rsid w:val="00AB4863"/>
    <w:rsid w:val="00AD4E38"/>
    <w:rsid w:val="00AD76E8"/>
    <w:rsid w:val="00AE366A"/>
    <w:rsid w:val="00AE6C08"/>
    <w:rsid w:val="00B045F3"/>
    <w:rsid w:val="00B1437A"/>
    <w:rsid w:val="00B20141"/>
    <w:rsid w:val="00B36C60"/>
    <w:rsid w:val="00B37BE6"/>
    <w:rsid w:val="00B46348"/>
    <w:rsid w:val="00B46D95"/>
    <w:rsid w:val="00B4775A"/>
    <w:rsid w:val="00B57ABD"/>
    <w:rsid w:val="00B62830"/>
    <w:rsid w:val="00B64AE1"/>
    <w:rsid w:val="00B724E8"/>
    <w:rsid w:val="00B73A9F"/>
    <w:rsid w:val="00B85813"/>
    <w:rsid w:val="00B96E41"/>
    <w:rsid w:val="00BB22E2"/>
    <w:rsid w:val="00BD5E7D"/>
    <w:rsid w:val="00BE01DA"/>
    <w:rsid w:val="00BE4B55"/>
    <w:rsid w:val="00C00C83"/>
    <w:rsid w:val="00C02A8F"/>
    <w:rsid w:val="00C05293"/>
    <w:rsid w:val="00C05CF4"/>
    <w:rsid w:val="00C11D33"/>
    <w:rsid w:val="00C11EE5"/>
    <w:rsid w:val="00C179E9"/>
    <w:rsid w:val="00C307C2"/>
    <w:rsid w:val="00C4054B"/>
    <w:rsid w:val="00C41236"/>
    <w:rsid w:val="00C54E81"/>
    <w:rsid w:val="00C571B5"/>
    <w:rsid w:val="00C60A8E"/>
    <w:rsid w:val="00C66C6C"/>
    <w:rsid w:val="00C7478D"/>
    <w:rsid w:val="00C75671"/>
    <w:rsid w:val="00C802BC"/>
    <w:rsid w:val="00C8142F"/>
    <w:rsid w:val="00C8336E"/>
    <w:rsid w:val="00C9018E"/>
    <w:rsid w:val="00C95086"/>
    <w:rsid w:val="00CB06E6"/>
    <w:rsid w:val="00CB5610"/>
    <w:rsid w:val="00CB63E9"/>
    <w:rsid w:val="00CB710B"/>
    <w:rsid w:val="00CB7873"/>
    <w:rsid w:val="00CC519C"/>
    <w:rsid w:val="00CE1A20"/>
    <w:rsid w:val="00CE7A30"/>
    <w:rsid w:val="00D20E86"/>
    <w:rsid w:val="00D227C3"/>
    <w:rsid w:val="00D248E1"/>
    <w:rsid w:val="00D27874"/>
    <w:rsid w:val="00D51125"/>
    <w:rsid w:val="00D54CD4"/>
    <w:rsid w:val="00D82BB9"/>
    <w:rsid w:val="00D8727D"/>
    <w:rsid w:val="00D920D7"/>
    <w:rsid w:val="00D93F85"/>
    <w:rsid w:val="00DA1E11"/>
    <w:rsid w:val="00DB14CC"/>
    <w:rsid w:val="00DC71A1"/>
    <w:rsid w:val="00DD1F70"/>
    <w:rsid w:val="00E1021E"/>
    <w:rsid w:val="00E254FE"/>
    <w:rsid w:val="00E25E3E"/>
    <w:rsid w:val="00E36342"/>
    <w:rsid w:val="00E41B85"/>
    <w:rsid w:val="00E42180"/>
    <w:rsid w:val="00E4479E"/>
    <w:rsid w:val="00E53C9F"/>
    <w:rsid w:val="00E77764"/>
    <w:rsid w:val="00E8091D"/>
    <w:rsid w:val="00E93D1E"/>
    <w:rsid w:val="00EA6CBA"/>
    <w:rsid w:val="00EB0FC2"/>
    <w:rsid w:val="00EB7B64"/>
    <w:rsid w:val="00F00511"/>
    <w:rsid w:val="00F101A9"/>
    <w:rsid w:val="00F10D9C"/>
    <w:rsid w:val="00F26E64"/>
    <w:rsid w:val="00F36267"/>
    <w:rsid w:val="00F4026E"/>
    <w:rsid w:val="00F43C6E"/>
    <w:rsid w:val="00F46310"/>
    <w:rsid w:val="00F4679C"/>
    <w:rsid w:val="00F51A77"/>
    <w:rsid w:val="00F54E82"/>
    <w:rsid w:val="00F653E9"/>
    <w:rsid w:val="00F82E5D"/>
    <w:rsid w:val="00FB02DF"/>
    <w:rsid w:val="00FB2275"/>
    <w:rsid w:val="00FC4A37"/>
    <w:rsid w:val="00FD505B"/>
    <w:rsid w:val="00FD74E4"/>
    <w:rsid w:val="00FE7E9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F89C613D-E6CA-4313-B145-9DD78AC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Patel, Vishal (V.)</cp:lastModifiedBy>
  <cp:revision>2</cp:revision>
  <dcterms:created xsi:type="dcterms:W3CDTF">2019-02-28T16:52:00Z</dcterms:created>
  <dcterms:modified xsi:type="dcterms:W3CDTF">2019-02-28T16:52:00Z</dcterms:modified>
</cp:coreProperties>
</file>