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640FB" w14:textId="76A7042B" w:rsidR="006600E9" w:rsidRDefault="006600E9">
      <w:r>
        <w:t>IVI:</w:t>
      </w:r>
    </w:p>
    <w:p w14:paraId="4495BB8F" w14:textId="683405FA" w:rsidR="001C1F32" w:rsidRDefault="006600E9">
      <w:r>
        <w:rPr>
          <w:rFonts w:hint="eastAsia"/>
        </w:rPr>
        <w:t>Current</w:t>
      </w:r>
      <w:r>
        <w:t xml:space="preserve"> </w:t>
      </w:r>
      <w:r>
        <w:rPr>
          <w:rFonts w:hint="eastAsia"/>
        </w:rPr>
        <w:t>Beha</w:t>
      </w:r>
      <w:r>
        <w:t>viors:</w:t>
      </w:r>
    </w:p>
    <w:p w14:paraId="2EB17075" w14:textId="47241FCB" w:rsidR="006600E9" w:rsidRDefault="006600E9">
      <w:r>
        <w:t>No on</w:t>
      </w:r>
      <w:r>
        <w:rPr>
          <w:rFonts w:hint="eastAsia"/>
        </w:rPr>
        <w:t>/</w:t>
      </w:r>
      <w:r>
        <w:t>off button for wireless charging;</w:t>
      </w:r>
    </w:p>
    <w:p w14:paraId="4FE49AB8" w14:textId="77777777" w:rsidR="004C179E" w:rsidRDefault="004C179E"/>
    <w:p w14:paraId="2FA7E8D1" w14:textId="6AF5FC4F" w:rsidR="006600E9" w:rsidRDefault="006600E9">
      <w:r>
        <w:t>Behaviors Need to Change:</w:t>
      </w:r>
    </w:p>
    <w:p w14:paraId="79DD60CD" w14:textId="058C7BB5" w:rsidR="006600E9" w:rsidRDefault="006600E9" w:rsidP="006600E9">
      <w:pPr>
        <w:pStyle w:val="ListParagraph"/>
        <w:numPr>
          <w:ilvl w:val="0"/>
          <w:numId w:val="1"/>
        </w:numPr>
      </w:pPr>
      <w:r>
        <w:rPr>
          <w:rFonts w:hint="eastAsia"/>
        </w:rPr>
        <w:t>Add</w:t>
      </w:r>
      <w:r>
        <w:t xml:space="preserve"> on/off button on IVI HMI for wireless charging </w:t>
      </w:r>
      <w:r w:rsidR="00A01B05">
        <w:t>in “</w:t>
      </w:r>
      <w:r w:rsidR="00A01B05">
        <w:rPr>
          <w:rFonts w:hint="eastAsia"/>
        </w:rPr>
        <w:t>车辆设置</w:t>
      </w:r>
      <w:r w:rsidR="00A01B05">
        <w:t xml:space="preserve">” </w:t>
      </w:r>
      <w:r w:rsidR="00A01B05">
        <w:rPr>
          <w:rFonts w:hint="eastAsia"/>
        </w:rPr>
        <w:t>tab</w:t>
      </w:r>
      <w:r>
        <w:t>;</w:t>
      </w:r>
    </w:p>
    <w:p w14:paraId="3A43DECE" w14:textId="3BF8C8CC" w:rsidR="009E725E" w:rsidRDefault="00A01B05" w:rsidP="009E725E">
      <w:pPr>
        <w:pStyle w:val="ListParagraph"/>
      </w:pPr>
      <w:r w:rsidRPr="00A01B05">
        <w:rPr>
          <w:noProof/>
        </w:rPr>
        <w:drawing>
          <wp:inline distT="0" distB="0" distL="0" distR="0" wp14:anchorId="523BFB5F" wp14:editId="62274D5E">
            <wp:extent cx="2419688" cy="381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D97C" w14:textId="77777777" w:rsidR="009E725E" w:rsidRDefault="009E725E" w:rsidP="009E725E">
      <w:pPr>
        <w:pStyle w:val="ListParagraph"/>
      </w:pPr>
    </w:p>
    <w:p w14:paraId="2198C40C" w14:textId="7513AB29" w:rsidR="006600E9" w:rsidRDefault="009E725E" w:rsidP="009E725E">
      <w:pPr>
        <w:pStyle w:val="ListParagraph"/>
        <w:numPr>
          <w:ilvl w:val="0"/>
          <w:numId w:val="1"/>
        </w:numPr>
      </w:pPr>
      <w:r>
        <w:rPr>
          <w:rFonts w:hint="eastAsia"/>
        </w:rPr>
        <w:t>Ther</w:t>
      </w:r>
      <w:r>
        <w:t xml:space="preserve">e would be a message to remind user </w:t>
      </w:r>
      <w:r w:rsidR="00AC45A0">
        <w:t>if user click info icon</w:t>
      </w:r>
      <w:r w:rsidR="00CC38DF" w:rsidRPr="00CC38DF">
        <w:rPr>
          <w:noProof/>
        </w:rPr>
        <w:drawing>
          <wp:inline distT="0" distB="0" distL="0" distR="0" wp14:anchorId="3522D6C2" wp14:editId="149595DD">
            <wp:extent cx="495369" cy="4382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 ”</w:t>
      </w:r>
      <w:r w:rsidRPr="009E725E">
        <w:t xml:space="preserve"> </w:t>
      </w:r>
      <w:r w:rsidRPr="008127AB">
        <w:rPr>
          <w:strike/>
        </w:rPr>
        <w:t>由于部分手机厂商未开通无线充电协议，无线充电速率较慢，且易发热，建议使用有线充电</w:t>
      </w:r>
      <w:r>
        <w:t>”</w:t>
      </w:r>
    </w:p>
    <w:p w14:paraId="0E9A43A7" w14:textId="5AB2A9DE" w:rsidR="008127AB" w:rsidRDefault="008127AB" w:rsidP="008127AB">
      <w:pPr>
        <w:pStyle w:val="ListParagraph"/>
      </w:pPr>
      <w:r>
        <w:rPr>
          <w:rFonts w:ascii="DengXian" w:eastAsia="DengXian" w:hAnsi="DengXian" w:hint="eastAsia"/>
        </w:rPr>
        <w:t>“由于部分手机厂商未开放私有无线充电协议，导致无线充电速率较慢且易发热，建议使用有线充电”</w:t>
      </w:r>
    </w:p>
    <w:p w14:paraId="15767F94" w14:textId="77777777" w:rsidR="00A33DAE" w:rsidRDefault="00A33DAE" w:rsidP="00A33DAE">
      <w:pPr>
        <w:pStyle w:val="ListParagraph"/>
        <w:spacing w:line="240" w:lineRule="auto"/>
      </w:pPr>
    </w:p>
    <w:p w14:paraId="09A2CF9F" w14:textId="7A07CBB1" w:rsidR="00156495" w:rsidRDefault="006600E9" w:rsidP="009A0A68">
      <w:pPr>
        <w:pStyle w:val="ListParagraph"/>
        <w:numPr>
          <w:ilvl w:val="0"/>
          <w:numId w:val="1"/>
        </w:numPr>
        <w:spacing w:line="240" w:lineRule="auto"/>
      </w:pPr>
      <w:r>
        <w:t xml:space="preserve">IVI </w:t>
      </w:r>
      <w:r w:rsidR="009A0A68">
        <w:t>“SET”</w:t>
      </w:r>
      <w:r>
        <w:t xml:space="preserve"> WCM </w:t>
      </w:r>
      <w:r w:rsidR="007E430E">
        <w:rPr>
          <w:rFonts w:hint="eastAsia"/>
        </w:rPr>
        <w:t>status</w:t>
      </w:r>
      <w:r w:rsidR="007E430E">
        <w:t xml:space="preserve"> </w:t>
      </w:r>
      <w:r>
        <w:t xml:space="preserve">module using </w:t>
      </w:r>
      <w:r>
        <w:rPr>
          <w:rFonts w:hint="eastAsia"/>
        </w:rPr>
        <w:t>FBMP</w:t>
      </w:r>
      <w:r>
        <w:t xml:space="preserve"> protocol</w:t>
      </w:r>
      <w:r w:rsidR="00156495">
        <w:t>:</w:t>
      </w:r>
    </w:p>
    <w:tbl>
      <w:tblPr>
        <w:tblStyle w:val="TableGrid"/>
        <w:tblW w:w="8740" w:type="dxa"/>
        <w:tblInd w:w="617" w:type="dxa"/>
        <w:tblLook w:val="04A0" w:firstRow="1" w:lastRow="0" w:firstColumn="1" w:lastColumn="0" w:noHBand="0" w:noVBand="1"/>
      </w:tblPr>
      <w:tblGrid>
        <w:gridCol w:w="3180"/>
        <w:gridCol w:w="1080"/>
        <w:gridCol w:w="940"/>
        <w:gridCol w:w="3540"/>
      </w:tblGrid>
      <w:tr w:rsidR="001641FA" w14:paraId="6ADA332A" w14:textId="77777777" w:rsidTr="00FE74E9">
        <w:trPr>
          <w:trHeight w:val="255"/>
        </w:trPr>
        <w:tc>
          <w:tcPr>
            <w:tcW w:w="3180" w:type="dxa"/>
          </w:tcPr>
          <w:p w14:paraId="18419E33" w14:textId="674D55E7" w:rsidR="001641FA" w:rsidRDefault="001641FA" w:rsidP="00156495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Feature Name</w:t>
            </w:r>
          </w:p>
        </w:tc>
        <w:tc>
          <w:tcPr>
            <w:tcW w:w="1080" w:type="dxa"/>
            <w:noWrap/>
          </w:tcPr>
          <w:p w14:paraId="285EC772" w14:textId="34C50469" w:rsidR="001641FA" w:rsidRDefault="001641FA" w:rsidP="001564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Feature ID</w:t>
            </w:r>
          </w:p>
        </w:tc>
        <w:tc>
          <w:tcPr>
            <w:tcW w:w="940" w:type="dxa"/>
            <w:noWrap/>
          </w:tcPr>
          <w:p w14:paraId="57162DBD" w14:textId="1DE8F1FF" w:rsidR="001641FA" w:rsidRDefault="001641FA" w:rsidP="001564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Config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 Number</w:t>
            </w:r>
          </w:p>
        </w:tc>
        <w:tc>
          <w:tcPr>
            <w:tcW w:w="3540" w:type="dxa"/>
            <w:noWrap/>
          </w:tcPr>
          <w:p w14:paraId="08E596E3" w14:textId="54F92FAE" w:rsidR="001641FA" w:rsidRDefault="001641FA" w:rsidP="001564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Config Value</w:t>
            </w:r>
          </w:p>
        </w:tc>
      </w:tr>
      <w:tr w:rsidR="00156495" w14:paraId="7ADA3865" w14:textId="77777777" w:rsidTr="00FE74E9">
        <w:trPr>
          <w:trHeight w:val="255"/>
        </w:trPr>
        <w:tc>
          <w:tcPr>
            <w:tcW w:w="3180" w:type="dxa"/>
            <w:vMerge w:val="restart"/>
            <w:hideMark/>
          </w:tcPr>
          <w:p w14:paraId="00075D4B" w14:textId="77777777" w:rsidR="00156495" w:rsidRDefault="00156495" w:rsidP="00156495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Wireless Charging for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CX771 China DuerOs</w:t>
            </w:r>
          </w:p>
        </w:tc>
        <w:tc>
          <w:tcPr>
            <w:tcW w:w="1080" w:type="dxa"/>
            <w:vMerge w:val="restart"/>
            <w:noWrap/>
            <w:hideMark/>
          </w:tcPr>
          <w:p w14:paraId="3592B23B" w14:textId="77777777" w:rsidR="00156495" w:rsidRDefault="00156495" w:rsidP="00156495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0x0979</w:t>
            </w:r>
          </w:p>
        </w:tc>
        <w:tc>
          <w:tcPr>
            <w:tcW w:w="940" w:type="dxa"/>
            <w:noWrap/>
            <w:hideMark/>
          </w:tcPr>
          <w:p w14:paraId="57CC4CD0" w14:textId="77777777" w:rsidR="00156495" w:rsidRDefault="00156495" w:rsidP="00156495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0x00</w:t>
            </w:r>
          </w:p>
        </w:tc>
        <w:tc>
          <w:tcPr>
            <w:tcW w:w="3540" w:type="dxa"/>
            <w:noWrap/>
            <w:hideMark/>
          </w:tcPr>
          <w:p w14:paraId="53ABA4B3" w14:textId="77777777" w:rsidR="00156495" w:rsidRDefault="00156495" w:rsidP="00156495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Off / Disabled</w:t>
            </w:r>
          </w:p>
        </w:tc>
      </w:tr>
      <w:tr w:rsidR="00156495" w14:paraId="6419D24D" w14:textId="77777777" w:rsidTr="00FE74E9">
        <w:trPr>
          <w:trHeight w:val="255"/>
        </w:trPr>
        <w:tc>
          <w:tcPr>
            <w:tcW w:w="0" w:type="auto"/>
            <w:vMerge/>
            <w:hideMark/>
          </w:tcPr>
          <w:p w14:paraId="20B284F0" w14:textId="77777777" w:rsidR="00156495" w:rsidRDefault="00156495" w:rsidP="00156495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hideMark/>
          </w:tcPr>
          <w:p w14:paraId="7BA2A39B" w14:textId="77777777" w:rsidR="00156495" w:rsidRDefault="00156495" w:rsidP="00156495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940" w:type="dxa"/>
            <w:noWrap/>
            <w:hideMark/>
          </w:tcPr>
          <w:p w14:paraId="296B68E5" w14:textId="77777777" w:rsidR="00156495" w:rsidRDefault="00156495" w:rsidP="00156495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0x01</w:t>
            </w:r>
          </w:p>
        </w:tc>
        <w:tc>
          <w:tcPr>
            <w:tcW w:w="3540" w:type="dxa"/>
            <w:noWrap/>
            <w:hideMark/>
          </w:tcPr>
          <w:p w14:paraId="18A3EF23" w14:textId="77777777" w:rsidR="00156495" w:rsidRDefault="00156495" w:rsidP="00156495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On / Enabled</w:t>
            </w:r>
          </w:p>
        </w:tc>
      </w:tr>
    </w:tbl>
    <w:p w14:paraId="0A6AF334" w14:textId="77777777" w:rsidR="007E430E" w:rsidRDefault="007E430E" w:rsidP="007E430E"/>
    <w:p w14:paraId="335410EA" w14:textId="01F25214" w:rsidR="007E430E" w:rsidRDefault="007E430E" w:rsidP="007E430E">
      <w:pPr>
        <w:pStyle w:val="ListParagraph"/>
        <w:numPr>
          <w:ilvl w:val="0"/>
          <w:numId w:val="1"/>
        </w:numPr>
      </w:pPr>
      <w:r>
        <w:t>No enhanced memory is supported, PersIndex is “Vehicle”</w:t>
      </w:r>
    </w:p>
    <w:p w14:paraId="48437818" w14:textId="77777777" w:rsidR="000F1172" w:rsidRDefault="000F1172" w:rsidP="000F1172">
      <w:pPr>
        <w:pStyle w:val="ListParagraph"/>
      </w:pPr>
    </w:p>
    <w:p w14:paraId="643CD3C6" w14:textId="4082B85A" w:rsidR="000F1172" w:rsidRDefault="000F1172" w:rsidP="007E430E">
      <w:pPr>
        <w:pStyle w:val="ListParagraph"/>
        <w:numPr>
          <w:ilvl w:val="0"/>
          <w:numId w:val="1"/>
        </w:numPr>
      </w:pPr>
      <w:r>
        <w:t xml:space="preserve">IVI would retry to send the “SET” signal </w:t>
      </w:r>
      <w:r w:rsidR="00FD537D">
        <w:t>if doesn’t get WCM response in 500ms, maximum 3 times;</w:t>
      </w:r>
    </w:p>
    <w:p w14:paraId="2442046C" w14:textId="77777777" w:rsidR="007E430E" w:rsidRDefault="007E430E" w:rsidP="007E430E">
      <w:pPr>
        <w:pStyle w:val="ListParagraph"/>
      </w:pPr>
    </w:p>
    <w:p w14:paraId="3D6D4886" w14:textId="77777777" w:rsidR="007E430E" w:rsidRDefault="007E430E" w:rsidP="007E430E">
      <w:pPr>
        <w:pStyle w:val="ListParagraph"/>
        <w:numPr>
          <w:ilvl w:val="0"/>
          <w:numId w:val="1"/>
        </w:numPr>
      </w:pPr>
      <w:r>
        <w:t>IVI doesn’t “QUERY” WCM module status;</w:t>
      </w:r>
    </w:p>
    <w:p w14:paraId="7C7E2D13" w14:textId="77777777" w:rsidR="007E430E" w:rsidRDefault="007E430E" w:rsidP="007E430E">
      <w:pPr>
        <w:pStyle w:val="ListParagraph"/>
      </w:pPr>
    </w:p>
    <w:p w14:paraId="5DDD5010" w14:textId="77777777" w:rsidR="007E430E" w:rsidRDefault="007E430E" w:rsidP="007E430E">
      <w:pPr>
        <w:pStyle w:val="ListParagraph"/>
        <w:numPr>
          <w:ilvl w:val="0"/>
          <w:numId w:val="1"/>
        </w:numPr>
      </w:pPr>
      <w:r>
        <w:t>IVI receives WCM signal (</w:t>
      </w:r>
      <w:r w:rsidRPr="00156495">
        <w:t>WrlssAcsyChrg_Pc_Actl</w:t>
      </w:r>
      <w:r>
        <w:t>) as feedback</w:t>
      </w:r>
    </w:p>
    <w:p w14:paraId="4DF9825B" w14:textId="694B83BD" w:rsidR="00156495" w:rsidRDefault="00156495" w:rsidP="00156495">
      <w:pPr>
        <w:pStyle w:val="ListParagraph"/>
      </w:pPr>
      <w:r>
        <w:t>When</w:t>
      </w:r>
      <w:r w:rsidR="00A33DAE">
        <w:t xml:space="preserve"> </w:t>
      </w:r>
      <w:r w:rsidR="00A33DAE" w:rsidRPr="00156495">
        <w:t>WrlssAcsyChrg_Pc_Actl</w:t>
      </w:r>
      <w:r w:rsidR="00A33DAE">
        <w:t>==0x00</w:t>
      </w:r>
      <w:r w:rsidR="00A33DAE">
        <w:rPr>
          <w:rFonts w:hint="eastAsia"/>
        </w:rPr>
        <w:t>,</w:t>
      </w:r>
      <w:r w:rsidR="00A33DAE">
        <w:t xml:space="preserve"> </w:t>
      </w:r>
      <w:r w:rsidR="00A937DC">
        <w:t>setting menu displays WCM ON</w:t>
      </w:r>
      <w:r w:rsidR="00A33DAE">
        <w:t>;</w:t>
      </w:r>
    </w:p>
    <w:p w14:paraId="263D239B" w14:textId="057D75BE" w:rsidR="00A33DAE" w:rsidRDefault="00A33DAE" w:rsidP="00FD537D">
      <w:pPr>
        <w:pStyle w:val="ListParagraph"/>
      </w:pPr>
      <w:r>
        <w:t>When</w:t>
      </w:r>
      <w:r w:rsidRPr="00A33DAE">
        <w:t xml:space="preserve"> </w:t>
      </w:r>
      <w:r w:rsidRPr="00156495">
        <w:t>WrlssAcsyChrg_Pc_Actl</w:t>
      </w:r>
      <w:r>
        <w:t xml:space="preserve">==0x01, </w:t>
      </w:r>
      <w:r w:rsidR="00A937DC">
        <w:t>setting menu displays WCM OFF</w:t>
      </w:r>
      <w:r>
        <w:t>;</w:t>
      </w:r>
    </w:p>
    <w:p w14:paraId="391AAB1A" w14:textId="77777777" w:rsidR="00FD537D" w:rsidRDefault="00FD537D" w:rsidP="00FD537D">
      <w:pPr>
        <w:pStyle w:val="ListParagraph"/>
      </w:pPr>
    </w:p>
    <w:p w14:paraId="122B4875" w14:textId="480E9C12" w:rsidR="006600E9" w:rsidRDefault="00A33DAE" w:rsidP="00A33DAE">
      <w:pPr>
        <w:pStyle w:val="ListParagraph"/>
        <w:numPr>
          <w:ilvl w:val="0"/>
          <w:numId w:val="1"/>
        </w:numPr>
      </w:pPr>
      <w:r>
        <w:t xml:space="preserve">When IVI cannot receive </w:t>
      </w:r>
      <w:r w:rsidRPr="00156495">
        <w:t>WrlssAcsyChrg_Pc_Actl</w:t>
      </w:r>
      <w:r>
        <w:t xml:space="preserve"> from WCM, the setting shall turn off;</w:t>
      </w:r>
    </w:p>
    <w:p w14:paraId="73864377" w14:textId="77777777" w:rsidR="00A33DAE" w:rsidRDefault="00A33DAE" w:rsidP="00A33DAE">
      <w:pPr>
        <w:pStyle w:val="ListParagraph"/>
      </w:pPr>
    </w:p>
    <w:p w14:paraId="32DFBD07" w14:textId="561C20D7" w:rsidR="00A01B05" w:rsidRDefault="00A33DAE" w:rsidP="00A01B05">
      <w:pPr>
        <w:pStyle w:val="ListParagraph"/>
        <w:numPr>
          <w:ilvl w:val="0"/>
          <w:numId w:val="1"/>
        </w:numPr>
      </w:pPr>
      <w:r>
        <w:t>The function can be controlled by Part2 Config;</w:t>
      </w:r>
    </w:p>
    <w:p w14:paraId="2A4EFA29" w14:textId="67CDBCAF" w:rsidR="00A01B05" w:rsidRDefault="00A01B05" w:rsidP="00A01B05">
      <w:pPr>
        <w:pStyle w:val="ListParagraph"/>
      </w:pPr>
      <w:r w:rsidRPr="00A01B05">
        <w:rPr>
          <w:noProof/>
        </w:rPr>
        <w:drawing>
          <wp:inline distT="0" distB="0" distL="0" distR="0" wp14:anchorId="770D2B38" wp14:editId="7CF442E8">
            <wp:extent cx="5943600" cy="252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809B" w14:textId="77777777" w:rsidR="00B42E93" w:rsidRDefault="00B42E93" w:rsidP="00A01B05">
      <w:pPr>
        <w:pStyle w:val="ListParagraph"/>
      </w:pPr>
    </w:p>
    <w:p w14:paraId="157F1FEF" w14:textId="2170137F" w:rsidR="00E87D2E" w:rsidRPr="002A3273" w:rsidRDefault="00220626" w:rsidP="00B42E93">
      <w:pPr>
        <w:pStyle w:val="ListParagraph"/>
        <w:numPr>
          <w:ilvl w:val="0"/>
          <w:numId w:val="1"/>
        </w:numPr>
        <w:rPr>
          <w:highlight w:val="yellow"/>
        </w:rPr>
      </w:pPr>
      <w:r w:rsidRPr="002A3273">
        <w:rPr>
          <w:highlight w:val="yellow"/>
        </w:rPr>
        <w:t xml:space="preserve">When </w:t>
      </w:r>
      <w:r w:rsidR="00300396" w:rsidRPr="002A3273">
        <w:rPr>
          <w:highlight w:val="yellow"/>
        </w:rPr>
        <w:t xml:space="preserve">WCM is on, </w:t>
      </w:r>
      <w:r w:rsidR="0066255F" w:rsidRPr="002A3273">
        <w:rPr>
          <w:highlight w:val="yellow"/>
        </w:rPr>
        <w:t xml:space="preserve">“Wireless charging active” pop up message </w:t>
      </w:r>
      <w:r w:rsidR="008E6946" w:rsidRPr="002A3273">
        <w:rPr>
          <w:highlight w:val="yellow"/>
        </w:rPr>
        <w:t xml:space="preserve">and chime </w:t>
      </w:r>
      <w:r w:rsidR="0066255F" w:rsidRPr="002A3273">
        <w:rPr>
          <w:highlight w:val="yellow"/>
        </w:rPr>
        <w:t xml:space="preserve">should only </w:t>
      </w:r>
      <w:r w:rsidR="008D1920">
        <w:rPr>
          <w:highlight w:val="yellow"/>
        </w:rPr>
        <w:t>play</w:t>
      </w:r>
      <w:r w:rsidR="0066255F" w:rsidRPr="002A3273">
        <w:rPr>
          <w:highlight w:val="yellow"/>
        </w:rPr>
        <w:t xml:space="preserve"> once each ignition cycle</w:t>
      </w:r>
      <w:r w:rsidR="00AD1BBB" w:rsidRPr="002A3273">
        <w:rPr>
          <w:highlight w:val="yellow"/>
        </w:rPr>
        <w:t xml:space="preserve">, wireless charging icon displays on status bar would keep previous </w:t>
      </w:r>
      <w:r w:rsidR="002A3273" w:rsidRPr="002A3273">
        <w:rPr>
          <w:highlight w:val="yellow"/>
        </w:rPr>
        <w:t>beha</w:t>
      </w:r>
      <w:r w:rsidR="002A3273">
        <w:rPr>
          <w:highlight w:val="yellow"/>
        </w:rPr>
        <w:t>v</w:t>
      </w:r>
      <w:r w:rsidR="002A3273" w:rsidRPr="002A3273">
        <w:rPr>
          <w:highlight w:val="yellow"/>
        </w:rPr>
        <w:t>ior.</w:t>
      </w:r>
    </w:p>
    <w:p w14:paraId="7F570092" w14:textId="26675DDF" w:rsidR="00AD1BBB" w:rsidRDefault="00AD1BBB" w:rsidP="00AD1BBB"/>
    <w:p w14:paraId="6689018F" w14:textId="5F425BAF" w:rsidR="00AD1BBB" w:rsidRPr="00907D8C" w:rsidRDefault="002A3273" w:rsidP="00AD1BBB">
      <w:pPr>
        <w:pStyle w:val="ListParagraph"/>
        <w:numPr>
          <w:ilvl w:val="0"/>
          <w:numId w:val="1"/>
        </w:numPr>
        <w:rPr>
          <w:highlight w:val="yellow"/>
        </w:rPr>
      </w:pPr>
      <w:r w:rsidRPr="00907D8C">
        <w:rPr>
          <w:rFonts w:hint="eastAsia"/>
          <w:highlight w:val="yellow"/>
        </w:rPr>
        <w:t>When</w:t>
      </w:r>
      <w:r w:rsidRPr="00907D8C">
        <w:rPr>
          <w:highlight w:val="yellow"/>
        </w:rPr>
        <w:t xml:space="preserve"> WCM is off, </w:t>
      </w:r>
      <w:r w:rsidR="00870DD0">
        <w:rPr>
          <w:highlight w:val="yellow"/>
        </w:rPr>
        <w:t>and</w:t>
      </w:r>
      <w:r w:rsidRPr="00907D8C">
        <w:rPr>
          <w:highlight w:val="yellow"/>
        </w:rPr>
        <w:t xml:space="preserve"> IVI receives </w:t>
      </w:r>
      <w:r w:rsidR="00B62AD6" w:rsidRPr="00907D8C">
        <w:rPr>
          <w:highlight w:val="yellow"/>
        </w:rPr>
        <w:t>WrlssAcsyChrgr_D_Stat=0x2</w:t>
      </w:r>
      <w:r w:rsidR="00E90BAC" w:rsidRPr="00907D8C">
        <w:rPr>
          <w:rFonts w:hint="eastAsia"/>
          <w:highlight w:val="yellow"/>
        </w:rPr>
        <w:t>,</w:t>
      </w:r>
      <w:r w:rsidR="00E90BAC" w:rsidRPr="00907D8C">
        <w:rPr>
          <w:highlight w:val="yellow"/>
        </w:rPr>
        <w:t xml:space="preserve"> IVI should pop up</w:t>
      </w:r>
      <w:r w:rsidR="00DC1FE3" w:rsidRPr="00907D8C">
        <w:rPr>
          <w:highlight w:val="yellow"/>
        </w:rPr>
        <w:t xml:space="preserve"> “Wireless charging off, please go to setting menu to turn on </w:t>
      </w:r>
      <w:r w:rsidR="0036791F" w:rsidRPr="00907D8C">
        <w:rPr>
          <w:highlight w:val="yellow"/>
        </w:rPr>
        <w:t>wireless charging</w:t>
      </w:r>
      <w:r w:rsidR="00DC1FE3" w:rsidRPr="00907D8C">
        <w:rPr>
          <w:highlight w:val="yellow"/>
        </w:rPr>
        <w:t>”</w:t>
      </w:r>
      <w:r w:rsidR="0036791F" w:rsidRPr="00907D8C">
        <w:rPr>
          <w:highlight w:val="yellow"/>
        </w:rPr>
        <w:t xml:space="preserve"> with the same chime as </w:t>
      </w:r>
      <w:r w:rsidR="008105FA" w:rsidRPr="00907D8C">
        <w:rPr>
          <w:highlight w:val="yellow"/>
        </w:rPr>
        <w:t>“wireless charging active”</w:t>
      </w:r>
      <w:r w:rsidR="008D1920" w:rsidRPr="00907D8C">
        <w:rPr>
          <w:highlight w:val="yellow"/>
        </w:rPr>
        <w:t xml:space="preserve">. The pop up and chime would only play </w:t>
      </w:r>
      <w:r w:rsidR="008D4153" w:rsidRPr="00907D8C">
        <w:rPr>
          <w:highlight w:val="yellow"/>
        </w:rPr>
        <w:t>once each ignition cycle</w:t>
      </w:r>
      <w:r w:rsidR="008105FA" w:rsidRPr="00907D8C">
        <w:rPr>
          <w:highlight w:val="yellow"/>
        </w:rPr>
        <w:t xml:space="preserve">. </w:t>
      </w:r>
      <w:r w:rsidR="00423E6D" w:rsidRPr="00907D8C">
        <w:rPr>
          <w:noProof/>
          <w:highlight w:val="yellow"/>
        </w:rPr>
        <w:drawing>
          <wp:inline distT="0" distB="0" distL="0" distR="0" wp14:anchorId="61DD2540" wp14:editId="7BEAF3EB">
            <wp:extent cx="180975" cy="2187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699" cy="2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E6D" w:rsidRPr="00907D8C">
        <w:rPr>
          <w:highlight w:val="yellow"/>
        </w:rPr>
        <w:t xml:space="preserve"> icon should be displayed </w:t>
      </w:r>
      <w:r w:rsidR="008D1920" w:rsidRPr="00907D8C">
        <w:rPr>
          <w:highlight w:val="yellow"/>
        </w:rPr>
        <w:t>on status bar</w:t>
      </w:r>
      <w:r w:rsidR="004317F3" w:rsidRPr="00907D8C">
        <w:rPr>
          <w:highlight w:val="yellow"/>
        </w:rPr>
        <w:t xml:space="preserve"> when receiving WrlssAcsyChrgr_D_Stat=0x2 at WCM off status.</w:t>
      </w:r>
    </w:p>
    <w:p w14:paraId="5432C1DD" w14:textId="77777777" w:rsidR="004317F3" w:rsidRDefault="004317F3" w:rsidP="004317F3">
      <w:pPr>
        <w:pStyle w:val="ListParagraph"/>
      </w:pPr>
    </w:p>
    <w:p w14:paraId="7C794AAD" w14:textId="61718808" w:rsidR="004317F3" w:rsidRDefault="008D243B" w:rsidP="00907D8C">
      <w:pPr>
        <w:pStyle w:val="ListParagraph"/>
        <w:numPr>
          <w:ilvl w:val="0"/>
          <w:numId w:val="1"/>
        </w:numPr>
        <w:rPr>
          <w:highlight w:val="yellow"/>
        </w:rPr>
      </w:pPr>
      <w:r w:rsidRPr="00C56CEA">
        <w:rPr>
          <w:highlight w:val="yellow"/>
        </w:rPr>
        <w:t xml:space="preserve">IVI don’t pop up and display any wireless charging content when WrlssAcsyChrgr_D_Stat!=0x2 at WCM </w:t>
      </w:r>
      <w:r w:rsidR="00C56CEA" w:rsidRPr="00C56CEA">
        <w:rPr>
          <w:highlight w:val="yellow"/>
        </w:rPr>
        <w:t>off status.</w:t>
      </w:r>
    </w:p>
    <w:p w14:paraId="52A2BD85" w14:textId="77777777" w:rsidR="00D73D78" w:rsidRPr="00D73D78" w:rsidRDefault="00D73D78" w:rsidP="00D73D78">
      <w:pPr>
        <w:pStyle w:val="ListParagraph"/>
        <w:rPr>
          <w:highlight w:val="yellow"/>
        </w:rPr>
      </w:pPr>
    </w:p>
    <w:p w14:paraId="5B7C8262" w14:textId="42709B83" w:rsidR="00D73D78" w:rsidRDefault="001D0188" w:rsidP="00D73D78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“Wireless charging ”</w:t>
      </w:r>
      <w:r w:rsidR="002B063F">
        <w:rPr>
          <w:highlight w:val="yellow"/>
        </w:rPr>
        <w:t xml:space="preserve"> items should be </w:t>
      </w:r>
      <w:r w:rsidR="00DE5CE3">
        <w:rPr>
          <w:rFonts w:hint="eastAsia"/>
          <w:highlight w:val="yellow"/>
        </w:rPr>
        <w:t>put</w:t>
      </w:r>
      <w:r w:rsidR="00DE5CE3">
        <w:rPr>
          <w:highlight w:val="yellow"/>
        </w:rPr>
        <w:t xml:space="preserve"> in “</w:t>
      </w:r>
      <w:r w:rsidR="00DE5CE3">
        <w:rPr>
          <w:rFonts w:hint="eastAsia"/>
          <w:highlight w:val="yellow"/>
        </w:rPr>
        <w:t>常用</w:t>
      </w:r>
      <w:r w:rsidR="00DE5CE3">
        <w:rPr>
          <w:highlight w:val="yellow"/>
        </w:rPr>
        <w:t>” tab in ”</w:t>
      </w:r>
      <w:r w:rsidR="00DE5CE3">
        <w:rPr>
          <w:rFonts w:hint="eastAsia"/>
          <w:highlight w:val="yellow"/>
        </w:rPr>
        <w:t>车辆控制</w:t>
      </w:r>
      <w:r w:rsidR="00DE5CE3">
        <w:rPr>
          <w:highlight w:val="yellow"/>
        </w:rPr>
        <w:t>”</w:t>
      </w:r>
      <w:r w:rsidR="00D55A05">
        <w:rPr>
          <w:highlight w:val="yellow"/>
        </w:rPr>
        <w:t xml:space="preserve"> </w:t>
      </w:r>
      <w:r w:rsidR="00D55A05">
        <w:rPr>
          <w:rFonts w:hint="eastAsia"/>
          <w:highlight w:val="yellow"/>
        </w:rPr>
        <w:t>b</w:t>
      </w:r>
      <w:r w:rsidR="00D55A05">
        <w:rPr>
          <w:highlight w:val="yellow"/>
        </w:rPr>
        <w:t>y default.</w:t>
      </w:r>
    </w:p>
    <w:p w14:paraId="388C2093" w14:textId="77777777" w:rsidR="00F12098" w:rsidRPr="00F12098" w:rsidRDefault="00F12098" w:rsidP="00F12098">
      <w:pPr>
        <w:pStyle w:val="ListParagraph"/>
        <w:rPr>
          <w:highlight w:val="yellow"/>
        </w:rPr>
      </w:pPr>
    </w:p>
    <w:p w14:paraId="750AC09C" w14:textId="40862860" w:rsidR="00F12098" w:rsidRPr="00D73D78" w:rsidRDefault="00F12098" w:rsidP="00D73D78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Add</w:t>
      </w:r>
      <w:r w:rsidR="00221B17">
        <w:rPr>
          <w:highlight w:val="yellow"/>
        </w:rPr>
        <w:t xml:space="preserve"> tagging point for wireless charging </w:t>
      </w:r>
      <w:r w:rsidR="00A64FA4">
        <w:rPr>
          <w:highlight w:val="yellow"/>
        </w:rPr>
        <w:t>on/off status.</w:t>
      </w:r>
    </w:p>
    <w:p w14:paraId="0CF573BC" w14:textId="77777777" w:rsidR="00A937DC" w:rsidRDefault="00A937DC" w:rsidP="0075639A"/>
    <w:sectPr w:rsidR="00A93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25502"/>
    <w:multiLevelType w:val="hybridMultilevel"/>
    <w:tmpl w:val="4C26D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67A92"/>
    <w:multiLevelType w:val="hybridMultilevel"/>
    <w:tmpl w:val="21B4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4D"/>
    <w:rsid w:val="000102EF"/>
    <w:rsid w:val="000819FE"/>
    <w:rsid w:val="000F1172"/>
    <w:rsid w:val="00156495"/>
    <w:rsid w:val="001641FA"/>
    <w:rsid w:val="001652AB"/>
    <w:rsid w:val="001C1F32"/>
    <w:rsid w:val="001D0188"/>
    <w:rsid w:val="00220626"/>
    <w:rsid w:val="00221B17"/>
    <w:rsid w:val="002A3273"/>
    <w:rsid w:val="002B063F"/>
    <w:rsid w:val="00300396"/>
    <w:rsid w:val="0036791F"/>
    <w:rsid w:val="003E4B50"/>
    <w:rsid w:val="00423E6D"/>
    <w:rsid w:val="004317F3"/>
    <w:rsid w:val="0048774D"/>
    <w:rsid w:val="004C179E"/>
    <w:rsid w:val="00506682"/>
    <w:rsid w:val="006600E9"/>
    <w:rsid w:val="0066255F"/>
    <w:rsid w:val="006B0E30"/>
    <w:rsid w:val="0075639A"/>
    <w:rsid w:val="007E430E"/>
    <w:rsid w:val="008105FA"/>
    <w:rsid w:val="008127AB"/>
    <w:rsid w:val="00823137"/>
    <w:rsid w:val="00870DD0"/>
    <w:rsid w:val="008D1920"/>
    <w:rsid w:val="008D243B"/>
    <w:rsid w:val="008D4153"/>
    <w:rsid w:val="008E6946"/>
    <w:rsid w:val="00907D8C"/>
    <w:rsid w:val="009A0A68"/>
    <w:rsid w:val="009E725E"/>
    <w:rsid w:val="00A01B05"/>
    <w:rsid w:val="00A33DAE"/>
    <w:rsid w:val="00A64FA4"/>
    <w:rsid w:val="00A937DC"/>
    <w:rsid w:val="00AB460C"/>
    <w:rsid w:val="00AC45A0"/>
    <w:rsid w:val="00AD1BBB"/>
    <w:rsid w:val="00B42E93"/>
    <w:rsid w:val="00B62AD6"/>
    <w:rsid w:val="00C56CEA"/>
    <w:rsid w:val="00CC38DF"/>
    <w:rsid w:val="00D55A05"/>
    <w:rsid w:val="00D73D78"/>
    <w:rsid w:val="00DC1FE3"/>
    <w:rsid w:val="00DE5CE3"/>
    <w:rsid w:val="00E87D2E"/>
    <w:rsid w:val="00E90BAC"/>
    <w:rsid w:val="00F12098"/>
    <w:rsid w:val="00F149D5"/>
    <w:rsid w:val="00FD4968"/>
    <w:rsid w:val="00FD537D"/>
    <w:rsid w:val="00FD61DB"/>
    <w:rsid w:val="00FE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B7BD"/>
  <w15:chartTrackingRefBased/>
  <w15:docId w15:val="{24C39F5A-05EB-4616-9017-D0A7A7A9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0E9"/>
    <w:pPr>
      <w:ind w:left="720"/>
      <w:contextualSpacing/>
    </w:pPr>
  </w:style>
  <w:style w:type="table" w:styleId="TableGrid">
    <w:name w:val="Table Grid"/>
    <w:basedOn w:val="TableNormal"/>
    <w:uiPriority w:val="39"/>
    <w:rsid w:val="00156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7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Hao (H.)</dc:creator>
  <cp:keywords/>
  <dc:description/>
  <cp:lastModifiedBy>Xu, Hao (H.)</cp:lastModifiedBy>
  <cp:revision>46</cp:revision>
  <dcterms:created xsi:type="dcterms:W3CDTF">2022-09-06T06:05:00Z</dcterms:created>
  <dcterms:modified xsi:type="dcterms:W3CDTF">2022-09-23T06:57:00Z</dcterms:modified>
</cp:coreProperties>
</file>