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2D62"/>
          <w:sz w:val="52"/>
        </w:rPr>
        <w:t>DWP Debt Collection</w:t>
      </w:r>
    </w:p>
    <w:p>
      <w:pPr>
        <w:jc w:val="center"/>
      </w:pPr>
      <w:r>
        <w:rPr>
          <w:color w:val="005EA8"/>
          <w:sz w:val="32"/>
        </w:rPr>
        <w:t>Demo Flows 1–6 — Workshop Summary</w:t>
      </w:r>
    </w:p>
    <w:p>
      <w:pPr>
        <w:jc w:val="center"/>
      </w:pPr>
      <w:r>
        <w:rPr>
          <w:i/>
          <w:color w:val="666666"/>
          <w:sz w:val="22"/>
        </w:rPr>
        <w:t>DWP Future Debt Service ITT</w:t>
      </w:r>
    </w:p>
    <w:p/>
    <w:p>
      <w:pPr>
        <w:spacing w:before="40" w:after="40"/>
        <w:pBdr>
          <w:bottom w:val="single" w:sz="6" w:space="1" w:color="009EDB"/>
        </w:pBdr>
      </w:pPr>
    </w:p>
    <w:p/>
    <w:p>
      <w:r>
        <w:br w:type="page"/>
      </w:r>
    </w:p>
    <w:p>
      <w:pPr>
        <w:pStyle w:val="Heading1"/>
        <w:spacing w:before="280" w:after="80"/>
      </w:pPr>
      <w:r>
        <w:rPr>
          <w:b/>
          <w:color w:val="002D62"/>
          <w:sz w:val="38"/>
        </w:rPr>
        <w:t>DWP Debt Collection — Demo Flows 1–6</w:t>
      </w:r>
    </w:p>
    <w:p>
      <w:pPr>
        <w:pStyle w:val="Heading2"/>
        <w:spacing w:before="280" w:after="80"/>
      </w:pPr>
      <w:r>
        <w:rPr>
          <w:b/>
          <w:color w:val="002D62"/>
          <w:sz w:val="32"/>
        </w:rPr>
        <w:t>Workshop Summary Guide</w:t>
      </w:r>
    </w:p>
    <w:p>
      <w:pPr>
        <w:spacing w:before="80" w:after="80"/>
        <w:ind w:left="680"/>
      </w:pPr>
      <w:r>
        <w:rPr>
          <w:i/>
          <w:color w:val="444444"/>
          <w:sz w:val="20"/>
        </w:rPr>
        <w:t>This document provides a concise reference for each of the six primary demonstration flows. It is designed for rapid orientation before a rehearsal or the live demonstration day. For full presenter notes, step-by-step detail, and evaluator Q&amp;A preparation, see the detailed guide.</w:t>
      </w:r>
    </w:p>
    <w:p>
      <w:pPr>
        <w:spacing w:before="40" w:after="40"/>
        <w:pBdr>
          <w:bottom w:val="single" w:sz="6" w:space="1" w:color="009EDB"/>
        </w:pBdr>
      </w:pPr>
    </w:p>
    <w:p>
      <w:pPr>
        <w:pStyle w:val="Heading2"/>
        <w:spacing w:before="280" w:after="80"/>
      </w:pPr>
      <w:r>
        <w:rPr>
          <w:b/>
          <w:color w:val="002D62"/>
          <w:sz w:val="32"/>
        </w:rPr>
        <w:t>Flow 1: From Account Intake to First Meaningful Contact</w:t>
      </w:r>
    </w:p>
    <w:p>
      <w:pPr>
        <w:spacing w:before="80" w:after="120"/>
      </w:pPr>
      <w:r/>
      <w:r>
        <w:rPr>
          <w:b/>
        </w:rPr>
        <w:t>Theme:</w:t>
      </w:r>
      <w:r>
        <w:t xml:space="preserve"> The platform knows what to do before an agent touches a single account.</w:t>
      </w:r>
    </w:p>
    <w:p>
      <w:pPr>
        <w:spacing w:before="80" w:after="120"/>
      </w:pPr>
      <w:r/>
      <w:r>
        <w:rPr>
          <w:b/>
        </w:rPr>
        <w:t>Scenario:</w:t>
      </w:r>
      <w:r>
        <w:t xml:space="preserve"> A large overnight feed of new delinquent accounts arrives. By the time agents log in, every account has already been validated, enriched, matched, segmented, prioritised, and — in many cases — contacted.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Key Steps</w:t>
      </w:r>
    </w:p>
    <w:p>
      <w:pPr>
        <w:pStyle w:val="ListNumber"/>
        <w:spacing w:before="40" w:after="40"/>
      </w:pPr>
      <w:r>
        <w:t>Trigger a batch intake from a host-system file or API feed.</w:t>
      </w:r>
    </w:p>
    <w:p>
      <w:pPr>
        <w:pStyle w:val="ListNumber"/>
        <w:spacing w:before="40" w:after="40"/>
      </w:pPr>
      <w:r>
        <w:t>Show validation: clean records proceed; exceptions are quarantined with reason codes.</w:t>
      </w:r>
    </w:p>
    <w:p>
      <w:pPr>
        <w:pStyle w:val="ListNumber"/>
        <w:spacing w:before="40" w:after="40"/>
      </w:pPr>
      <w:r>
        <w:t>Show customer matching: incoming accounts linked to existing records where found.</w:t>
      </w:r>
    </w:p>
    <w:p>
      <w:pPr>
        <w:pStyle w:val="ListNumber"/>
        <w:spacing w:before="40" w:after="40"/>
      </w:pPr>
      <w:r>
        <w:t>Show enrichment: benefit status, risk band, delinquency stage, and priority score applied automatically.</w:t>
      </w:r>
    </w:p>
    <w:p>
      <w:pPr>
        <w:pStyle w:val="ListNumber"/>
        <w:spacing w:before="40" w:after="40"/>
      </w:pPr>
      <w:r>
        <w:t>Show segmentation and queue assignment: accounts distributed across teams by rule.</w:t>
      </w:r>
    </w:p>
    <w:p>
      <w:pPr>
        <w:pStyle w:val="ListNumber"/>
        <w:spacing w:before="40" w:after="40"/>
      </w:pPr>
      <w:r>
        <w:t>Show first communications already triggered for eligible accounts.</w:t>
      </w:r>
    </w:p>
    <w:p>
      <w:pPr>
        <w:pStyle w:val="ListNumber"/>
        <w:spacing w:before="40" w:after="40"/>
      </w:pPr>
      <w:r>
        <w:t>Log in as an agent: worklist is pre-populated and pre-prioritised — no manual triage needed.</w:t>
      </w:r>
    </w:p>
    <w:p>
      <w:pPr>
        <w:pStyle w:val="ListNumber"/>
        <w:spacing w:before="40" w:after="40"/>
      </w:pPr>
      <w:r>
        <w:t>Open the supervisor dashboard: the overnight transformation from raw intake to ready-to-work portfolio is visible at a glance.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Moment of Truth</w:t>
      </w:r>
    </w:p>
    <w:p>
      <w:pPr>
        <w:spacing w:before="80" w:after="120"/>
      </w:pPr>
      <w:r>
        <w:t>Hundreds of accounts have been classified, queued, and in some cases contacted before a single agent begins work. State the number explicitly.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Requirements Evidenced</w:t>
      </w:r>
    </w:p>
    <w:p>
      <w:pPr>
        <w:spacing w:before="80" w:after="120"/>
      </w:pPr>
      <w:r>
        <w:t>Data integration (batch and API), workflow automation, multi-channel communications, work queue distribution, decisioning and segmentation, agent action logging.</w:t>
      </w:r>
    </w:p>
    <w:p>
      <w:pPr>
        <w:spacing w:before="40" w:after="40"/>
        <w:pBdr>
          <w:bottom w:val="single" w:sz="6" w:space="1" w:color="009EDB"/>
        </w:pBdr>
      </w:pPr>
    </w:p>
    <w:p>
      <w:pPr>
        <w:pStyle w:val="Heading2"/>
        <w:spacing w:before="280" w:after="80"/>
      </w:pPr>
      <w:r>
        <w:rPr>
          <w:b/>
          <w:color w:val="002D62"/>
          <w:sz w:val="32"/>
        </w:rPr>
        <w:t>Flow 2: Customer in Financial Difficulty — Vulnerability to Resolution</w:t>
      </w:r>
    </w:p>
    <w:p>
      <w:pPr>
        <w:spacing w:before="80" w:after="120"/>
      </w:pPr>
      <w:r/>
      <w:r>
        <w:rPr>
          <w:b/>
        </w:rPr>
        <w:t>Theme:</w:t>
      </w:r>
      <w:r>
        <w:t xml:space="preserve"> The platform protects the right customers immediately and automatically.</w:t>
      </w:r>
    </w:p>
    <w:p>
      <w:pPr>
        <w:spacing w:before="80" w:after="120"/>
      </w:pPr>
      <w:r/>
      <w:r>
        <w:rPr>
          <w:b/>
        </w:rPr>
        <w:t>Scenario:</w:t>
      </w:r>
      <w:r>
        <w:t xml:space="preserve"> A customer calls and discloses mental health difficulties. The platform must instantly apply protection rules, route the case to a specialist, support an affordability conversation, and create a sustainable repayment plan.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Key Steps</w:t>
      </w:r>
    </w:p>
    <w:p>
      <w:pPr>
        <w:pStyle w:val="ListNumber"/>
        <w:spacing w:before="40" w:after="40"/>
      </w:pPr>
      <w:r>
        <w:t>Agent opens the account: full context visible — balance, history, prior contacts, current status.</w:t>
      </w:r>
    </w:p>
    <w:p>
      <w:pPr>
        <w:pStyle w:val="ListNumber"/>
        <w:spacing w:before="40" w:after="40"/>
      </w:pPr>
      <w:r>
        <w:t>Customer discloses a vulnerability; agent records the type, severity, and whether it is temporary or ongoing.</w:t>
      </w:r>
    </w:p>
    <w:p>
      <w:pPr>
        <w:pStyle w:val="ListNumber"/>
        <w:spacing w:before="40" w:after="40"/>
      </w:pPr>
      <w:r/>
      <w:r>
        <w:rPr>
          <w:b/>
        </w:rPr>
        <w:t>On save: all outbound contact is automatically suppressed</w:t>
      </w:r>
      <w:r>
        <w:t xml:space="preserve"> — queued letters, SMS, and dialler tasks are stopped.</w:t>
      </w:r>
    </w:p>
    <w:p>
      <w:pPr>
        <w:pStyle w:val="ListNumber"/>
        <w:spacing w:before="40" w:after="40"/>
      </w:pPr>
      <w:r>
        <w:t>Case is transferred to the specialist vulnerability queue, carrying the full history.</w:t>
      </w:r>
    </w:p>
    <w:p>
      <w:pPr>
        <w:pStyle w:val="ListNumber"/>
        <w:spacing w:before="40" w:after="40"/>
      </w:pPr>
      <w:r>
        <w:t>Specialist completes an income and expenditure capture; platform validates against reference thresholds.</w:t>
      </w:r>
    </w:p>
    <w:p>
      <w:pPr>
        <w:pStyle w:val="ListNumber"/>
        <w:spacing w:before="40" w:after="40"/>
      </w:pPr>
      <w:r>
        <w:t>Platform calculates disposable income and presents affordable repayment options across frequencies.</w:t>
      </w:r>
    </w:p>
    <w:p>
      <w:pPr>
        <w:pStyle w:val="ListNumber"/>
        <w:spacing w:before="40" w:after="40"/>
      </w:pPr>
      <w:r>
        <w:t>Specialist agrees and creates an arrangement; monitoring workflow starts automatically.</w:t>
      </w:r>
    </w:p>
    <w:p>
      <w:pPr>
        <w:pStyle w:val="ListNumber"/>
        <w:spacing w:before="40" w:after="40"/>
      </w:pPr>
      <w:r>
        <w:t>Show the end-to-end audit trail: every event timestamped from first contact to arrangement creation.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Moment of Truth</w:t>
      </w:r>
    </w:p>
    <w:p>
      <w:pPr>
        <w:spacing w:before="80" w:after="120"/>
      </w:pPr>
      <w:r>
        <w:t>The instant the vulnerability marker is saved, all outbound collection activity stops — automatically, before any supervisor or specialist has acted. Protection is a system behaviour, not a training task.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Requirements Evidenced</w:t>
      </w:r>
    </w:p>
    <w:p>
      <w:pPr>
        <w:spacing w:before="80" w:after="120"/>
      </w:pPr>
      <w:r>
        <w:t>Vulnerability management with levels, type, and temporary status; affordability and I&amp;E capture; repayment arrangement lifecycle; compliance and audit; restricted user actions; specialist queue routing.</w:t>
      </w:r>
    </w:p>
    <w:p>
      <w:pPr>
        <w:spacing w:before="40" w:after="40"/>
        <w:pBdr>
          <w:bottom w:val="single" w:sz="6" w:space="1" w:color="009EDB"/>
        </w:pBdr>
      </w:pPr>
    </w:p>
    <w:p>
      <w:pPr>
        <w:pStyle w:val="Heading2"/>
        <w:spacing w:before="280" w:after="80"/>
      </w:pPr>
      <w:r>
        <w:rPr>
          <w:b/>
          <w:color w:val="002D62"/>
          <w:sz w:val="32"/>
        </w:rPr>
        <w:t>Flow 3: Arrangement Breach — Escalation to DCA Placement</w:t>
      </w:r>
    </w:p>
    <w:p>
      <w:pPr>
        <w:spacing w:before="80" w:after="120"/>
      </w:pPr>
      <w:r/>
      <w:r>
        <w:rPr>
          <w:b/>
        </w:rPr>
        <w:t>Theme:</w:t>
      </w:r>
      <w:r>
        <w:t xml:space="preserve"> The platform escalates without hesitation and leaves a complete paper trail.</w:t>
      </w:r>
    </w:p>
    <w:p>
      <w:pPr>
        <w:spacing w:before="80" w:after="120"/>
      </w:pPr>
      <w:r/>
      <w:r>
        <w:rPr>
          <w:b/>
        </w:rPr>
        <w:t>Scenario:</w:t>
      </w:r>
      <w:r>
        <w:t xml:space="preserve"> A customer misses consecutive arrangement payments. The system detects the breach, sequences re-engagement communications, and — when internal recovery is exhausted — places the account with a third-party debt collection agency.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Key Steps</w:t>
      </w:r>
    </w:p>
    <w:p>
      <w:pPr>
        <w:pStyle w:val="ListNumber"/>
        <w:spacing w:before="40" w:after="40"/>
      </w:pPr>
      <w:r>
        <w:t>Payment due date passes with no payment received; grace period timer activates.</w:t>
      </w:r>
    </w:p>
    <w:p>
      <w:pPr>
        <w:pStyle w:val="ListNumber"/>
        <w:spacing w:before="40" w:after="40"/>
      </w:pPr>
      <w:r>
        <w:t>Grace period expires: breach confirmed, first breach communication generated automatically.</w:t>
      </w:r>
    </w:p>
    <w:p>
      <w:pPr>
        <w:pStyle w:val="ListNumber"/>
        <w:spacing w:before="40" w:after="40"/>
      </w:pPr>
      <w:r>
        <w:t>Platform sequences contact attempts — letters, SMS, outbound call tasks — as configured in the strategy.</w:t>
      </w:r>
    </w:p>
    <w:p>
      <w:pPr>
        <w:pStyle w:val="ListNumber"/>
        <w:spacing w:before="40" w:after="40"/>
      </w:pPr>
      <w:r>
        <w:t>After the configured re-engagement window, case escalates to a supervisor exception queue.</w:t>
      </w:r>
    </w:p>
    <w:p>
      <w:pPr>
        <w:pStyle w:val="ListNumber"/>
        <w:spacing w:before="40" w:after="40"/>
      </w:pPr>
      <w:r>
        <w:t>Supervisor reviews: option to override and retain internally, or allow placement to proceed.</w:t>
      </w:r>
    </w:p>
    <w:p>
      <w:pPr>
        <w:pStyle w:val="ListNumber"/>
        <w:spacing w:before="40" w:after="40"/>
      </w:pPr>
      <w:r>
        <w:t>Placement fires: account data transmitted to the DCA; internal contact strategy suspended simultaneously.</w:t>
      </w:r>
    </w:p>
    <w:p>
      <w:pPr>
        <w:pStyle w:val="ListNumber"/>
        <w:spacing w:before="40" w:after="40"/>
      </w:pPr>
      <w:r>
        <w:t>DCA returns a payment; platform allocates it correctly — principal, fees, commission — and updates the balance.</w:t>
      </w:r>
    </w:p>
    <w:p>
      <w:pPr>
        <w:pStyle w:val="ListNumber"/>
        <w:spacing w:before="40" w:after="40"/>
      </w:pPr>
      <w:r>
        <w:t>DCA performance reporting shows placements made, payments received, and recovery rate.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Moment of Truth</w:t>
      </w:r>
    </w:p>
    <w:p>
      <w:pPr>
        <w:spacing w:before="80" w:after="120"/>
      </w:pPr>
      <w:r>
        <w:t>The full timeline from missed payment to DCA placement is visible in one view — every automated step, every contact attempt, every elapsed time marker — written in real time by the system as events occurred.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Requirements Evidenced</w:t>
      </w:r>
    </w:p>
    <w:p>
      <w:pPr>
        <w:spacing w:before="80" w:after="120"/>
      </w:pPr>
      <w:r>
        <w:t>Repayment arrangement monitoring, breach tolerance rules, sequenced multi-channel communications, third-party placement and reconciliation, financial accounting, exception escalation, supervisor override with audit.</w:t>
      </w:r>
    </w:p>
    <w:p>
      <w:pPr>
        <w:spacing w:before="40" w:after="40"/>
        <w:pBdr>
          <w:bottom w:val="single" w:sz="6" w:space="1" w:color="009EDB"/>
        </w:pBdr>
      </w:pPr>
    </w:p>
    <w:p>
      <w:pPr>
        <w:pStyle w:val="Heading2"/>
        <w:spacing w:before="280" w:after="80"/>
      </w:pPr>
      <w:r>
        <w:rPr>
          <w:b/>
          <w:color w:val="002D62"/>
          <w:sz w:val="32"/>
        </w:rPr>
        <w:t>Flow 4: Complex Household — Multiple Accounts, Joint Liability, Competing Workflows</w:t>
      </w:r>
    </w:p>
    <w:p>
      <w:pPr>
        <w:spacing w:before="80" w:after="120"/>
      </w:pPr>
      <w:r/>
      <w:r>
        <w:rPr>
          <w:b/>
        </w:rPr>
        <w:t>Theme:</w:t>
      </w:r>
      <w:r>
        <w:t xml:space="preserve"> No matter how complex the customer relationship, the platform holds it together and prevents compliance mistakes in real time.</w:t>
      </w:r>
    </w:p>
    <w:p>
      <w:pPr>
        <w:spacing w:before="80" w:after="120"/>
      </w:pPr>
      <w:r/>
      <w:r>
        <w:rPr>
          <w:b/>
        </w:rPr>
        <w:t>Scenario:</w:t>
      </w:r>
      <w:r>
        <w:t xml:space="preserve"> One household contains two individuals, three debts across them, an active repayment plan, a case in legal treatment, and a breathing space restriction. The platform must maintain a coherent view and enforce the right restrictions.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Key Steps</w:t>
      </w:r>
    </w:p>
    <w:p>
      <w:pPr>
        <w:pStyle w:val="ListNumber"/>
        <w:spacing w:before="40" w:after="40"/>
      </w:pPr>
      <w:r>
        <w:t>Search for a customer; navigate from the individual record to the household view.</w:t>
      </w:r>
    </w:p>
    <w:p>
      <w:pPr>
        <w:pStyle w:val="ListNumber"/>
        <w:spacing w:before="40" w:after="40"/>
      </w:pPr>
      <w:r>
        <w:t>Show the household entity: both individuals, all three debts, status icons for each.</w:t>
      </w:r>
    </w:p>
    <w:p>
      <w:pPr>
        <w:pStyle w:val="ListNumber"/>
        <w:spacing w:before="40" w:after="40"/>
      </w:pPr>
      <w:r>
        <w:t>Show the joint debt — two named parties, communications addressable to either or both simultaneously.</w:t>
      </w:r>
    </w:p>
    <w:p>
      <w:pPr>
        <w:pStyle w:val="ListNumber"/>
        <w:spacing w:before="40" w:after="40"/>
      </w:pPr>
      <w:r>
        <w:t>Attempt an outbound action on the breathing-space-restricted account.</w:t>
      </w:r>
    </w:p>
    <w:p>
      <w:pPr>
        <w:pStyle w:val="ListNumber"/>
        <w:spacing w:before="40" w:after="40"/>
      </w:pPr>
      <w:r/>
      <w:r>
        <w:rPr>
          <w:b/>
        </w:rPr>
        <w:t>Platform blocks the action and explains why</w:t>
      </w:r>
      <w:r>
        <w:t xml:space="preserve"> — the restriction is enforced at runtime, not by agent memory.</w:t>
      </w:r>
    </w:p>
    <w:p>
      <w:pPr>
        <w:pStyle w:val="ListNumber"/>
        <w:spacing w:before="40" w:after="40"/>
      </w:pPr>
      <w:r>
        <w:t>Agent works one of the unrestricted accounts successfully; action recorded only against that account.</w:t>
      </w:r>
    </w:p>
    <w:p>
      <w:pPr>
        <w:pStyle w:val="ListNumber"/>
        <w:spacing w:before="40" w:after="40"/>
      </w:pPr>
      <w:r>
        <w:t>Show the two parallel workflows on Person A's accounts running independently without interference.</w:t>
      </w:r>
    </w:p>
    <w:p>
      <w:pPr>
        <w:pStyle w:val="ListNumber"/>
        <w:spacing w:before="40" w:after="40"/>
      </w:pPr>
      <w:r>
        <w:t>Show the supervisor household summary: all accounts and restrictions visible at a glance.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Moment of Truth</w:t>
      </w:r>
    </w:p>
    <w:p>
      <w:pPr>
        <w:spacing w:before="80" w:after="120"/>
      </w:pPr>
      <w:r>
        <w:t>The platform prevents a live compliance mistake. An attempted contact on a restricted account is stopped before it reaches the customer — the evaluator sees protection enforced by the system, not by procedure.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Requirements Evidenced</w:t>
      </w:r>
    </w:p>
    <w:p>
      <w:pPr>
        <w:spacing w:before="80" w:after="120"/>
      </w:pPr>
      <w:r>
        <w:t>Household creation and display, joint debt with multi-party liability, joint debt split with automatic residual write-off, breathing space and restriction enforcement, parallel process management, RBAC and audit.</w:t>
      </w:r>
    </w:p>
    <w:p>
      <w:pPr>
        <w:spacing w:before="40" w:after="40"/>
        <w:pBdr>
          <w:bottom w:val="single" w:sz="6" w:space="1" w:color="009EDB"/>
        </w:pBdr>
      </w:pPr>
    </w:p>
    <w:p>
      <w:pPr>
        <w:pStyle w:val="Heading2"/>
        <w:spacing w:before="280" w:after="80"/>
      </w:pPr>
      <w:r>
        <w:rPr>
          <w:b/>
          <w:color w:val="002D62"/>
          <w:sz w:val="32"/>
        </w:rPr>
        <w:t>Flow 5: Business User Changes a Collection Strategy — No IT Required</w:t>
      </w:r>
    </w:p>
    <w:p>
      <w:pPr>
        <w:spacing w:before="80" w:after="120"/>
      </w:pPr>
      <w:r/>
      <w:r>
        <w:rPr>
          <w:b/>
        </w:rPr>
        <w:t>Theme:</w:t>
      </w:r>
      <w:r>
        <w:t xml:space="preserve"> Business users own strategy change. The platform governs it safely without requiring IT involvement.</w:t>
      </w:r>
    </w:p>
    <w:p>
      <w:pPr>
        <w:spacing w:before="80" w:after="120"/>
      </w:pPr>
      <w:r/>
      <w:r>
        <w:rPr>
          <w:b/>
        </w:rPr>
        <w:t>Scenario:</w:t>
      </w:r>
      <w:r>
        <w:t xml:space="preserve"> A strategy manager wants to improve early-stage recovery by inserting a new SMS step, testing whether it works before full rollout, and then deploying the better-performing version.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Key Steps</w:t>
      </w:r>
    </w:p>
    <w:p>
      <w:pPr>
        <w:pStyle w:val="ListNumber"/>
        <w:spacing w:before="40" w:after="40"/>
      </w:pPr>
      <w:r>
        <w:t>Open the existing strategy in the visual strategy editor — no code visible.</w:t>
      </w:r>
    </w:p>
    <w:p>
      <w:pPr>
        <w:pStyle w:val="ListNumber"/>
        <w:spacing w:before="40" w:after="40"/>
      </w:pPr>
      <w:r>
        <w:t>Add a new SMS step at the chosen point; select the template from the third-party communications platform.</w:t>
      </w:r>
    </w:p>
    <w:p>
      <w:pPr>
        <w:pStyle w:val="ListNumber"/>
        <w:spacing w:before="40" w:after="40"/>
      </w:pPr>
      <w:r>
        <w:t>Save the change as a draft version; the live strategy continues to run unchanged.</w:t>
      </w:r>
    </w:p>
    <w:p>
      <w:pPr>
        <w:pStyle w:val="ListNumber"/>
        <w:spacing w:before="40" w:after="40"/>
      </w:pPr>
      <w:r>
        <w:t>Submit for peer review and approval; reviewer approves via the configured workflow.</w:t>
      </w:r>
    </w:p>
    <w:p>
      <w:pPr>
        <w:pStyle w:val="ListNumber"/>
        <w:spacing w:before="40" w:after="40"/>
      </w:pPr>
      <w:r>
        <w:t>Run a historical simulation: "What would have happened if this strategy had been live for the last three months?" — projected contact and arrangement rates shown.</w:t>
      </w:r>
    </w:p>
    <w:p>
      <w:pPr>
        <w:pStyle w:val="ListNumber"/>
        <w:spacing w:before="40" w:after="40"/>
      </w:pPr>
      <w:r>
        <w:t>Configure a champion/challenger split: 80% on the existing strategy, 20% on the new one.</w:t>
      </w:r>
    </w:p>
    <w:p>
      <w:pPr>
        <w:pStyle w:val="ListNumber"/>
        <w:spacing w:before="40" w:after="40"/>
      </w:pPr>
      <w:r>
        <w:t>After the evaluation period, view comparative results side by side.</w:t>
      </w:r>
    </w:p>
    <w:p>
      <w:pPr>
        <w:pStyle w:val="ListNumber"/>
        <w:spacing w:before="40" w:after="40"/>
      </w:pPr>
      <w:r>
        <w:t>Promote the better strategy to full use; show version history and the one-click rollback control.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Moment of Truth</w:t>
      </w:r>
    </w:p>
    <w:p>
      <w:pPr>
        <w:spacing w:before="80" w:after="120"/>
      </w:pPr>
      <w:r>
        <w:t>The platform answers: "What would have happened if this strategy had already been live?" The simulation step transforms a workflow editor into a strategy optimisation tool.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Requirements Evidenced</w:t>
      </w:r>
    </w:p>
    <w:p>
      <w:pPr>
        <w:spacing w:before="80" w:after="120"/>
      </w:pPr>
      <w:r>
        <w:t>No-code strategy design and amendment, simulation and scenario modelling, champion/challenger testing, communications template integration, version control, peer review and approval, rollback controls.</w:t>
      </w:r>
    </w:p>
    <w:p>
      <w:pPr>
        <w:spacing w:before="40" w:after="40"/>
        <w:pBdr>
          <w:bottom w:val="single" w:sz="6" w:space="1" w:color="009EDB"/>
        </w:pBdr>
      </w:pPr>
    </w:p>
    <w:p>
      <w:pPr>
        <w:pStyle w:val="Heading2"/>
        <w:spacing w:before="280" w:after="80"/>
      </w:pPr>
      <w:r>
        <w:rPr>
          <w:b/>
          <w:color w:val="002D62"/>
          <w:sz w:val="32"/>
        </w:rPr>
        <w:t>Flow 6: Executive and Operational Dashboard — Real-Time Oversight</w:t>
      </w:r>
    </w:p>
    <w:p>
      <w:pPr>
        <w:spacing w:before="80" w:after="120"/>
      </w:pPr>
      <w:r/>
      <w:r>
        <w:rPr>
          <w:b/>
        </w:rPr>
        <w:t>Theme:</w:t>
      </w:r>
      <w:r>
        <w:t xml:space="preserve"> Senior leadership sees the operation clearly, acts when needed, and never needs an analyst to prepare a report first.</w:t>
      </w:r>
    </w:p>
    <w:p>
      <w:pPr>
        <w:spacing w:before="80" w:after="120"/>
      </w:pPr>
      <w:r/>
      <w:r>
        <w:rPr>
          <w:b/>
        </w:rPr>
        <w:t>Scenario:</w:t>
      </w:r>
      <w:r>
        <w:t xml:space="preserve"> An operations director wants to understand queue health, breach trends, strategy performance, SLA risk, and vulnerable-case handling — in real time, from a single screen.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Key Steps</w:t>
      </w:r>
    </w:p>
    <w:p>
      <w:pPr>
        <w:pStyle w:val="ListNumber"/>
        <w:spacing w:before="40" w:after="40"/>
      </w:pPr>
      <w:r>
        <w:t>Open the operational dashboard: queue volumes, arrangement health, breach counts, DCA placements, and vulnerability case depth — all live.</w:t>
      </w:r>
    </w:p>
    <w:p>
      <w:pPr>
        <w:pStyle w:val="ListNumber"/>
        <w:spacing w:before="40" w:after="40"/>
      </w:pPr>
      <w:r>
        <w:t>Drill into an amber breach trend for a specific segment; view the count by day over 30 days.</w:t>
      </w:r>
    </w:p>
    <w:p>
      <w:pPr>
        <w:pStyle w:val="ListNumber"/>
        <w:spacing w:before="40" w:after="40"/>
      </w:pPr>
      <w:r>
        <w:t>Trace the trend to its cause: a strategy configuration change deployed 48 hours ago correlates with the performance drop.</w:t>
      </w:r>
    </w:p>
    <w:p>
      <w:pPr>
        <w:pStyle w:val="ListNumber"/>
        <w:spacing w:before="40" w:after="40"/>
      </w:pPr>
      <w:r>
        <w:t>Review queue ageing; identify accounts over SLA in the specialist review queue.</w:t>
      </w:r>
    </w:p>
    <w:p>
      <w:pPr>
        <w:pStyle w:val="ListNumber"/>
        <w:spacing w:before="40" w:after="40"/>
      </w:pPr>
      <w:r>
        <w:t>Bulk-reassign ageing accounts to a team with available capacity; action logged against the director's user ID.</w:t>
      </w:r>
    </w:p>
    <w:p>
      <w:pPr>
        <w:pStyle w:val="ListNumber"/>
        <w:spacing w:before="40" w:after="40"/>
      </w:pPr>
      <w:r>
        <w:t>Open champion/challenger results from Flow 5; the challenger is outperforming — statistical significance confirmed.</w:t>
      </w:r>
    </w:p>
    <w:p>
      <w:pPr>
        <w:pStyle w:val="ListNumber"/>
        <w:spacing w:before="40" w:after="40"/>
      </w:pPr>
      <w:r>
        <w:t>Review the vulnerability exception report: overdue specialist reviews and flags approaching expiry.</w:t>
      </w:r>
    </w:p>
    <w:p>
      <w:pPr>
        <w:pStyle w:val="ListNumber"/>
        <w:spacing w:before="40" w:after="40"/>
      </w:pPr>
      <w:r>
        <w:t>Export a governance report — period, metrics, and format selectable — ready for a board pack or regulatory submission.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Moment of Truth</w:t>
      </w:r>
    </w:p>
    <w:p>
      <w:pPr>
        <w:spacing w:before="80" w:after="120"/>
      </w:pPr>
      <w:r>
        <w:t>A senior user identifies a performance problem, traces its cause to a specific change, and takes corrective action — inside the same platform, in under five minutes, without asking anyone for data.</w:t>
      </w:r>
    </w:p>
    <w:p>
      <w:pPr>
        <w:pStyle w:val="Heading3"/>
        <w:spacing w:before="160" w:after="80"/>
      </w:pPr>
      <w:r>
        <w:rPr>
          <w:b/>
          <w:color w:val="005EA8"/>
          <w:sz w:val="26"/>
        </w:rPr>
        <w:t>Requirements Evidenced</w:t>
      </w:r>
    </w:p>
    <w:p>
      <w:pPr>
        <w:spacing w:before="80" w:after="120"/>
      </w:pPr>
      <w:r>
        <w:t>Real-time operational reporting, KPI and SLA configuration, work allocation and bulk reassignment, champion/challenger performance visibility, vulnerability exception management, Power BI–compatible data exposure, full audit of management actions.</w:t>
      </w:r>
    </w:p>
    <w:p>
      <w:pPr>
        <w:spacing w:before="40" w:after="40"/>
        <w:pBdr>
          <w:bottom w:val="single" w:sz="6" w:space="1" w:color="009EDB"/>
        </w:pBdr>
      </w:pPr>
    </w:p>
    <w:p>
      <w:pPr>
        <w:pStyle w:val="Heading2"/>
        <w:spacing w:before="280" w:after="80"/>
      </w:pPr>
      <w:r>
        <w:rPr>
          <w:b/>
          <w:color w:val="002D62"/>
          <w:sz w:val="32"/>
        </w:rPr>
        <w:t>Coverage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02D62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Requirement Area</w:t>
            </w:r>
          </w:p>
        </w:tc>
        <w:tc>
          <w:tcPr>
            <w:tcW w:type="dxa" w:w="1344"/>
            <w:shd w:val="clear" w:color="auto" w:fill="002D62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Flow 1</w:t>
            </w:r>
          </w:p>
        </w:tc>
        <w:tc>
          <w:tcPr>
            <w:tcW w:type="dxa" w:w="1344"/>
            <w:shd w:val="clear" w:color="auto" w:fill="002D62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Flow 2</w:t>
            </w:r>
          </w:p>
        </w:tc>
        <w:tc>
          <w:tcPr>
            <w:tcW w:type="dxa" w:w="1344"/>
            <w:shd w:val="clear" w:color="auto" w:fill="002D62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Flow 3</w:t>
            </w:r>
          </w:p>
        </w:tc>
        <w:tc>
          <w:tcPr>
            <w:tcW w:type="dxa" w:w="1344"/>
            <w:shd w:val="clear" w:color="auto" w:fill="002D62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Flow 4</w:t>
            </w:r>
          </w:p>
        </w:tc>
        <w:tc>
          <w:tcPr>
            <w:tcW w:type="dxa" w:w="1344"/>
            <w:shd w:val="clear" w:color="auto" w:fill="002D62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Flow 5</w:t>
            </w:r>
          </w:p>
        </w:tc>
        <w:tc>
          <w:tcPr>
            <w:tcW w:type="dxa" w:w="1344"/>
            <w:shd w:val="clear" w:color="auto" w:fill="002D62"/>
          </w:tcPr>
          <w:p>
            <w:pPr>
              <w:spacing w:before="40" w:after="40"/>
            </w:pPr>
            <w:r>
              <w:rPr>
                <w:b/>
                <w:color w:val="FFFFFF"/>
                <w:sz w:val="18"/>
              </w:rPr>
              <w:t>Flow 6</w:t>
            </w:r>
          </w:p>
        </w:tc>
      </w:tr>
      <w:tr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Data Integration and Intake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Workflow Automation and Override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Multi-Channel Communications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Repayment Arrangement Lifecycle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Affordability and I&amp;E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RBAC and Audit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Work Queue Distribution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Decisioning and Strategy Optimisation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Third-Party Placement and Reconciliation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Financial Accounting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Exception Detection and Escalation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Agent Action Logging and History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Vulnerability and Compliance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Household and Joint Liability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Parallel Process Management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Strategy Change Without IT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Champion/Challenger Testing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  <w:tc>
          <w:tcPr>
            <w:tcW w:type="dxa" w:w="1344"/>
            <w:shd w:val="clear" w:color="auto" w:fill="EEF4FB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Operational Reporting and MI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>
              <w:rPr>
                <w:sz w:val="18"/>
              </w:rPr>
              <w:t>✓✓</w:t>
            </w:r>
          </w:p>
        </w:tc>
      </w:tr>
    </w:tbl>
    <w:p/>
    <w:p>
      <w:pPr>
        <w:spacing w:before="80" w:after="120"/>
      </w:pPr>
      <w:r/>
      <w:r>
        <w:rPr>
          <w:i/>
        </w:rPr>
        <w:t>✓✓ = primary evidence point; ✓ = supporting evidence</w:t>
      </w:r>
      <w:r/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