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97D"/>
          <w:sz w:val="36"/>
        </w:rPr>
        <w:t>DWP Demo — Solon Tax Gap Analysis</w:t>
      </w:r>
    </w:p>
    <w:p>
      <w:r>
        <w:rPr>
          <w:color w:val="606060"/>
        </w:rPr>
        <w:t>Date: 2026-04-28  |  Version: 1.0</w:t>
      </w:r>
    </w:p>
    <w:p/>
    <w:p>
      <w:pPr>
        <w:pStyle w:val="Heading2"/>
      </w:pPr>
      <w:r>
        <w:rPr>
          <w:color w:val="2E74B5"/>
        </w:rPr>
        <w:t>Context</w:t>
      </w:r>
    </w:p>
    <w:p>
      <w:r>
        <w:t>This document maps the DWP Future Debt Service demo requirements against Solon Tax v2.3.0 capabilities. Items are classified as: Out-of-the-box (works now), Config/build (feasible within the platform), or Gap (not supported; workaround or net-new layer build required).</w:t>
      </w:r>
    </w:p>
    <w:p>
      <w:pPr>
        <w:pStyle w:val="Heading2"/>
      </w:pPr>
      <w:r>
        <w:rPr>
          <w:color w:val="2E74B5"/>
        </w:rPr>
        <w:t>Out-of-the-Box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  <w:tcW w:w="4031" w:type="dxa"/>
          </w:tcPr>
          <w:p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4320"/>
            <w:shd w:val="clear" w:color="auto" w:fill="1F497D"/>
            <w:tcW w:w="5328" w:type="dxa"/>
          </w:tcPr>
          <w:p>
            <w:r>
              <w:rPr>
                <w:b/>
                <w:color w:val="FFFFFF"/>
                <w:sz w:val="18"/>
              </w:rPr>
              <w:t>Demo relevance</w:t>
            </w:r>
          </w:p>
        </w:tc>
      </w:tr>
      <w:tr>
        <w:tc>
          <w:tcPr>
            <w:tcW w:type="dxa" w:w="4320"/>
            <w:shd w:val="clear" w:color="auto" w:fill="DEEAF1"/>
            <w:tcW w:w="4031" w:type="dxa"/>
          </w:tcPr>
          <w:p>
            <w:r>
              <w:rPr>
                <w:sz w:val="18"/>
              </w:rPr>
              <w:t>BPMN process engine (Camunda-backed)</w:t>
            </w:r>
          </w:p>
        </w:tc>
        <w:tc>
          <w:tcPr>
            <w:tcW w:type="dxa" w:w="4320"/>
            <w:shd w:val="clear" w:color="auto" w:fill="DEEAF1"/>
            <w:tcW w:w="5328" w:type="dxa"/>
          </w:tcPr>
          <w:p>
            <w:r>
              <w:rPr>
                <w:sz w:val="18"/>
              </w:rPr>
              <w:t>Drives collection workflows; timer events for grace periods and breach detection</w:t>
            </w:r>
          </w:p>
        </w:tc>
      </w:tr>
      <w:tr>
        <w:tc>
          <w:tcPr>
            <w:tcW w:type="dxa" w:w="4320"/>
            <w:shd w:val="clear" w:color="auto" w:fill="FFFFFF"/>
            <w:tcW w:w="4031" w:type="dxa"/>
          </w:tcPr>
          <w:p>
            <w:r>
              <w:rPr>
                <w:sz w:val="18"/>
              </w:rPr>
              <w:t>Case management with auto-start workflow on case creation</w:t>
            </w:r>
          </w:p>
        </w:tc>
        <w:tc>
          <w:tcPr>
            <w:tcW w:type="dxa" w:w="4320"/>
            <w:shd w:val="clear" w:color="auto" w:fill="FFFFFF"/>
            <w:tcW w:w="5328" w:type="dxa"/>
          </w:tcPr>
          <w:p>
            <w:r>
              <w:rPr>
                <w:sz w:val="18"/>
              </w:rPr>
              <w:t>Core segmentation-to-workflow mechanism</w:t>
            </w:r>
          </w:p>
        </w:tc>
      </w:tr>
      <w:tr>
        <w:tc>
          <w:tcPr>
            <w:tcW w:type="dxa" w:w="4320"/>
            <w:shd w:val="clear" w:color="auto" w:fill="DEEAF1"/>
            <w:tcW w:w="4031" w:type="dxa"/>
          </w:tcPr>
          <w:p>
            <w:r>
              <w:rPr>
                <w:sz w:val="18"/>
              </w:rPr>
              <w:t>Human task AUTO_ASSIGN with worker eligibility scoring</w:t>
            </w:r>
          </w:p>
        </w:tc>
        <w:tc>
          <w:tcPr>
            <w:tcW w:type="dxa" w:w="4320"/>
            <w:shd w:val="clear" w:color="auto" w:fill="DEEAF1"/>
            <w:tcW w:w="5328" w:type="dxa"/>
          </w:tcPr>
          <w:p>
            <w:r>
              <w:rPr>
                <w:sz w:val="18"/>
              </w:rPr>
              <w:t>Automatic routing to Welfare Team, High Value Team, etc.</w:t>
            </w:r>
          </w:p>
        </w:tc>
      </w:tr>
      <w:tr>
        <w:tc>
          <w:tcPr>
            <w:tcW w:type="dxa" w:w="4320"/>
            <w:shd w:val="clear" w:color="auto" w:fill="FFFFFF"/>
            <w:tcW w:w="4031" w:type="dxa"/>
          </w:tcPr>
          <w:p>
            <w:r>
              <w:rPr>
                <w:sz w:val="18"/>
              </w:rPr>
              <w:t>Contact management — letter, SMS, email, dialler with generate/dispatch</w:t>
            </w:r>
          </w:p>
        </w:tc>
        <w:tc>
          <w:tcPr>
            <w:tcW w:type="dxa" w:w="4320"/>
            <w:shd w:val="clear" w:color="auto" w:fill="FFFFFF"/>
            <w:tcW w:w="5328" w:type="dxa"/>
          </w:tcPr>
          <w:p>
            <w:r>
              <w:rPr>
                <w:sz w:val="18"/>
              </w:rPr>
              <w:t>Communication steps in all workflows</w:t>
            </w:r>
          </w:p>
        </w:tc>
      </w:tr>
      <w:tr>
        <w:tc>
          <w:tcPr>
            <w:tcW w:type="dxa" w:w="4320"/>
            <w:shd w:val="clear" w:color="auto" w:fill="DEEAF1"/>
            <w:tcW w:w="4031" w:type="dxa"/>
          </w:tcPr>
          <w:p>
            <w:r>
              <w:rPr>
                <w:sz w:val="18"/>
              </w:rPr>
              <w:t>Suppression with suspendActiveInstancesSW</w:t>
            </w:r>
          </w:p>
        </w:tc>
        <w:tc>
          <w:tcPr>
            <w:tcW w:type="dxa" w:w="4320"/>
            <w:shd w:val="clear" w:color="auto" w:fill="DEEAF1"/>
            <w:tcW w:w="5328" w:type="dxa"/>
          </w:tcPr>
          <w:p>
            <w:r>
              <w:rPr>
                <w:sz w:val="18"/>
              </w:rPr>
              <w:t>"Vulnerability saved → all collection activity stops"</w:t>
            </w:r>
          </w:p>
        </w:tc>
      </w:tr>
      <w:tr>
        <w:tc>
          <w:tcPr>
            <w:tcW w:type="dxa" w:w="4320"/>
            <w:shd w:val="clear" w:color="auto" w:fill="FFFFFF"/>
            <w:tcW w:w="4031" w:type="dxa"/>
          </w:tcPr>
          <w:p>
            <w:r>
              <w:rPr>
                <w:sz w:val="18"/>
              </w:rPr>
              <w:t>Breathing Space enforcement (maximumNumberDays = 60)</w:t>
            </w:r>
          </w:p>
        </w:tc>
        <w:tc>
          <w:tcPr>
            <w:tcW w:type="dxa" w:w="4320"/>
            <w:shd w:val="clear" w:color="auto" w:fill="FFFFFF"/>
            <w:tcW w:w="5328" w:type="dxa"/>
          </w:tcPr>
          <w:p>
            <w:r>
              <w:rPr>
                <w:sz w:val="18"/>
              </w:rPr>
              <w:t>Statutory Breathing Space — no development needed</w:t>
            </w:r>
          </w:p>
        </w:tc>
      </w:tr>
      <w:tr>
        <w:tc>
          <w:tcPr>
            <w:tcW w:type="dxa" w:w="4320"/>
            <w:shd w:val="clear" w:color="auto" w:fill="DEEAF1"/>
            <w:tcW w:w="4031" w:type="dxa"/>
          </w:tcPr>
          <w:p>
            <w:r>
              <w:rPr>
                <w:sz w:val="18"/>
              </w:rPr>
              <w:t>Payment plan lifecycle including pause (PUT /pay-plans/{id}/pause)</w:t>
            </w:r>
          </w:p>
        </w:tc>
        <w:tc>
          <w:tcPr>
            <w:tcW w:type="dxa" w:w="4320"/>
            <w:shd w:val="clear" w:color="auto" w:fill="DEEAF1"/>
            <w:tcW w:w="5328" w:type="dxa"/>
          </w:tcPr>
          <w:p>
            <w:r>
              <w:rPr>
                <w:sz w:val="18"/>
              </w:rPr>
              <w:t>Vulnerability and forbearance scenarios</w:t>
            </w:r>
          </w:p>
        </w:tc>
      </w:tr>
      <w:tr>
        <w:tc>
          <w:tcPr>
            <w:tcW w:type="dxa" w:w="4320"/>
            <w:shd w:val="clear" w:color="auto" w:fill="FFFFFF"/>
            <w:tcW w:w="4031" w:type="dxa"/>
          </w:tcPr>
          <w:p>
            <w:r>
              <w:rPr>
                <w:sz w:val="18"/>
              </w:rPr>
              <w:t>Write-off (POST /overpayment-processes/write-off)</w:t>
            </w:r>
          </w:p>
        </w:tc>
        <w:tc>
          <w:tcPr>
            <w:tcW w:type="dxa" w:w="4320"/>
            <w:shd w:val="clear" w:color="auto" w:fill="FFFFFF"/>
            <w:tcW w:w="5328" w:type="dxa"/>
          </w:tcPr>
          <w:p>
            <w:r>
              <w:rPr>
                <w:sz w:val="18"/>
              </w:rPr>
              <w:t>Residual 1p write-off and Flow 10</w:t>
            </w:r>
          </w:p>
        </w:tc>
      </w:tr>
      <w:tr>
        <w:tc>
          <w:tcPr>
            <w:tcW w:type="dxa" w:w="4320"/>
            <w:shd w:val="clear" w:color="auto" w:fill="DEEAF1"/>
            <w:tcW w:w="4031" w:type="dxa"/>
          </w:tcPr>
          <w:p>
            <w:r>
              <w:rPr>
                <w:sz w:val="18"/>
              </w:rPr>
              <w:t>Payment distribution/allocation</w:t>
            </w:r>
          </w:p>
        </w:tc>
        <w:tc>
          <w:tcPr>
            <w:tcW w:type="dxa" w:w="4320"/>
            <w:shd w:val="clear" w:color="auto" w:fill="DEEAF1"/>
            <w:tcW w:w="5328" w:type="dxa"/>
          </w:tcPr>
          <w:p>
            <w:r>
              <w:rPr>
                <w:sz w:val="18"/>
              </w:rPr>
              <w:t>DCA payment reconciliation</w:t>
            </w:r>
          </w:p>
        </w:tc>
      </w:tr>
      <w:tr>
        <w:tc>
          <w:tcPr>
            <w:tcW w:type="dxa" w:w="4320"/>
            <w:shd w:val="clear" w:color="auto" w:fill="FFFFFF"/>
            <w:tcW w:w="4031" w:type="dxa"/>
          </w:tcPr>
          <w:p>
            <w:r>
              <w:rPr>
                <w:sz w:val="18"/>
              </w:rPr>
              <w:t>Candidate lists and risk scoring via Drools</w:t>
            </w:r>
          </w:p>
        </w:tc>
        <w:tc>
          <w:tcPr>
            <w:tcW w:type="dxa" w:w="4320"/>
            <w:shd w:val="clear" w:color="auto" w:fill="FFFFFF"/>
            <w:tcW w:w="5328" w:type="dxa"/>
          </w:tcPr>
          <w:p>
            <w:r>
              <w:rPr>
                <w:sz w:val="18"/>
              </w:rPr>
              <w:t>Segmentation and campaign management</w:t>
            </w:r>
          </w:p>
        </w:tc>
      </w:tr>
      <w:tr>
        <w:tc>
          <w:tcPr>
            <w:tcW w:type="dxa" w:w="4320"/>
            <w:shd w:val="clear" w:color="auto" w:fill="DEEAF1"/>
            <w:tcW w:w="4031" w:type="dxa"/>
          </w:tcPr>
          <w:p>
            <w:r>
              <w:rPr>
                <w:sz w:val="18"/>
              </w:rPr>
              <w:t>DCA debt handover (POST /cases/{id}/debt-handover)</w:t>
            </w:r>
          </w:p>
        </w:tc>
        <w:tc>
          <w:tcPr>
            <w:tcW w:type="dxa" w:w="4320"/>
            <w:shd w:val="clear" w:color="auto" w:fill="DEEAF1"/>
            <w:tcW w:w="5328" w:type="dxa"/>
          </w:tcPr>
          <w:p>
            <w:r>
              <w:rPr>
                <w:sz w:val="18"/>
              </w:rPr>
              <w:t>Initiates DCA placement in Flow 3</w:t>
            </w:r>
          </w:p>
        </w:tc>
      </w:tr>
      <w:tr>
        <w:tc>
          <w:tcPr>
            <w:tcW w:type="dxa" w:w="4320"/>
            <w:shd w:val="clear" w:color="auto" w:fill="FFFFFF"/>
            <w:tcW w:w="4031" w:type="dxa"/>
          </w:tcPr>
          <w:p>
            <w:r>
              <w:rPr>
                <w:sz w:val="18"/>
              </w:rPr>
              <w:t>Operational plan tracking with actual-vs-planned metrics</w:t>
            </w:r>
          </w:p>
        </w:tc>
        <w:tc>
          <w:tcPr>
            <w:tcW w:type="dxa" w:w="4320"/>
            <w:shd w:val="clear" w:color="auto" w:fill="FFFFFF"/>
            <w:tcW w:w="5328" w:type="dxa"/>
          </w:tcPr>
          <w:p>
            <w:r>
              <w:rPr>
                <w:sz w:val="18"/>
              </w:rPr>
              <w:t>Dashboard KPI reporting (Flow 6)</w:t>
            </w:r>
          </w:p>
        </w:tc>
      </w:tr>
      <w:tr>
        <w:tc>
          <w:tcPr>
            <w:tcW w:type="dxa" w:w="4320"/>
            <w:shd w:val="clear" w:color="auto" w:fill="DEEAF1"/>
            <w:tcW w:w="4031" w:type="dxa"/>
          </w:tcPr>
          <w:p>
            <w:r>
              <w:rPr>
                <w:sz w:val="18"/>
              </w:rPr>
              <w:t>Keycloak RBAC with role-based validation paths</w:t>
            </w:r>
          </w:p>
        </w:tc>
        <w:tc>
          <w:tcPr>
            <w:tcW w:type="dxa" w:w="4320"/>
            <w:shd w:val="clear" w:color="auto" w:fill="DEEAF1"/>
            <w:tcW w:w="5328" w:type="dxa"/>
          </w:tcPr>
          <w:p>
            <w:r>
              <w:rPr>
                <w:sz w:val="18"/>
              </w:rPr>
              <w:t>Role separation across all workspaces</w:t>
            </w:r>
          </w:p>
        </w:tc>
      </w:tr>
      <w:tr>
        <w:tc>
          <w:tcPr>
            <w:tcW w:type="dxa" w:w="4320"/>
            <w:shd w:val="clear" w:color="auto" w:fill="FFFFFF"/>
            <w:tcW w:w="4031" w:type="dxa"/>
          </w:tcPr>
          <w:p>
            <w:r>
              <w:rPr>
                <w:sz w:val="18"/>
              </w:rPr>
              <w:t>Drools stateless rule execution with independently versioned KIE containers</w:t>
            </w:r>
          </w:p>
        </w:tc>
        <w:tc>
          <w:tcPr>
            <w:tcW w:type="dxa" w:w="4320"/>
            <w:shd w:val="clear" w:color="auto" w:fill="FFFFFF"/>
            <w:tcW w:w="5328" w:type="dxa"/>
          </w:tcPr>
          <w:p>
            <w:r>
              <w:rPr>
                <w:sz w:val="18"/>
              </w:rPr>
              <w:t>Affordability and segmentation rules</w:t>
            </w:r>
          </w:p>
        </w:tc>
      </w:tr>
    </w:tbl>
    <w:p/>
    <w:p>
      <w:pPr>
        <w:pStyle w:val="Heading2"/>
      </w:pPr>
      <w:r>
        <w:rPr>
          <w:color w:val="2E74B5"/>
        </w:rPr>
        <w:t>Configuration and Build Required (Feasible)</w:t>
      </w:r>
    </w:p>
    <w:p>
      <w:r>
        <w:t>All items below are achievable within Solon Tax's supported extension model or the layer architecture. None require changes to the Solon product.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4608" w:type="dxa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val="clear" w:color="auto" w:fill="1F497D"/>
            <w:tcW w:w="1152" w:type="dxa"/>
          </w:tcPr>
          <w:p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2880"/>
            <w:shd w:val="clear" w:color="auto" w:fill="1F497D"/>
            <w:tcW w:w="3600" w:type="dxa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  <w:shd w:val="clear" w:color="auto" w:fill="DEEAF1"/>
            <w:tcW w:w="4608" w:type="dxa"/>
          </w:tcPr>
          <w:p>
            <w:r>
              <w:rPr>
                <w:sz w:val="18"/>
              </w:rPr>
              <w:t>Reference data and codelists (revenue types, liability types, FT types, candidate list types, suppression types, pay plan types)</w:t>
            </w:r>
          </w:p>
        </w:tc>
        <w:tc>
          <w:tcPr>
            <w:tcW w:type="dxa" w:w="2880"/>
            <w:shd w:val="clear" w:color="auto" w:fill="DEEAF1"/>
            <w:tcW w:w="1152" w:type="dxa"/>
          </w:tcPr>
          <w:p>
            <w:r>
              <w:rPr>
                <w:sz w:val="18"/>
              </w:rPr>
              <w:t>5–8 days</w:t>
            </w:r>
          </w:p>
        </w:tc>
        <w:tc>
          <w:tcPr>
            <w:tcW w:type="dxa" w:w="2880"/>
            <w:shd w:val="clear" w:color="auto" w:fill="DEEAF1"/>
            <w:tcW w:w="3600" w:type="dxa"/>
          </w:tcPr>
          <w:p>
            <w:r>
              <w:rPr>
                <w:sz w:val="18"/>
              </w:rPr>
              <w:t>Foundations Configurator; no code</w:t>
            </w:r>
          </w:p>
        </w:tc>
      </w:tr>
      <w:tr>
        <w:tc>
          <w:tcPr>
            <w:tcW w:type="dxa" w:w="2880"/>
            <w:shd w:val="clear" w:color="auto" w:fill="FFFFFF"/>
            <w:tcW w:w="4608" w:type="dxa"/>
          </w:tcPr>
          <w:p>
            <w:r>
              <w:rPr>
                <w:sz w:val="18"/>
              </w:rPr>
              <w:t>Case types linked to BPMN process types (Standard Recovery, Vulnerable Outreach, Low Value Automated, Champion, Challenger)</w:t>
            </w:r>
          </w:p>
        </w:tc>
        <w:tc>
          <w:tcPr>
            <w:tcW w:type="dxa" w:w="2880"/>
            <w:shd w:val="clear" w:color="auto" w:fill="FFFFFF"/>
            <w:tcW w:w="1152" w:type="dxa"/>
          </w:tcPr>
          <w:p>
            <w:r>
              <w:rPr>
                <w:sz w:val="18"/>
              </w:rPr>
              <w:t>1 day</w:t>
            </w:r>
          </w:p>
        </w:tc>
        <w:tc>
          <w:tcPr>
            <w:tcW w:type="dxa" w:w="2880"/>
            <w:shd w:val="clear" w:color="auto" w:fill="FFFFFF"/>
            <w:tcW w:w="3600" w:type="dxa"/>
          </w:tcPr>
          <w:p>
            <w:r>
              <w:rPr>
                <w:sz w:val="18"/>
              </w:rPr>
              <w:t>Config only</w:t>
            </w:r>
          </w:p>
        </w:tc>
      </w:tr>
      <w:tr>
        <w:tc>
          <w:tcPr>
            <w:tcW w:type="dxa" w:w="2880"/>
            <w:shd w:val="clear" w:color="auto" w:fill="DEEAF1"/>
            <w:tcW w:w="4608" w:type="dxa"/>
          </w:tcPr>
          <w:p>
            <w:r>
              <w:rPr>
                <w:sz w:val="18"/>
              </w:rPr>
              <w:t>Case worker profiles (Welfare Team, High Value Team, General Collections)</w:t>
            </w:r>
          </w:p>
        </w:tc>
        <w:tc>
          <w:tcPr>
            <w:tcW w:type="dxa" w:w="2880"/>
            <w:shd w:val="clear" w:color="auto" w:fill="DEEAF1"/>
            <w:tcW w:w="1152" w:type="dxa"/>
          </w:tcPr>
          <w:p>
            <w:r>
              <w:rPr>
                <w:sz w:val="18"/>
              </w:rPr>
              <w:t>0.5 day</w:t>
            </w:r>
          </w:p>
        </w:tc>
        <w:tc>
          <w:tcPr>
            <w:tcW w:type="dxa" w:w="2880"/>
            <w:shd w:val="clear" w:color="auto" w:fill="DEEAF1"/>
            <w:tcW w:w="3600" w:type="dxa"/>
          </w:tcPr>
          <w:p>
            <w:r>
              <w:rPr>
                <w:sz w:val="18"/>
              </w:rPr>
              <w:t>Config only</w:t>
            </w:r>
          </w:p>
        </w:tc>
      </w:tr>
      <w:tr>
        <w:tc>
          <w:tcPr>
            <w:tcW w:type="dxa" w:w="2880"/>
            <w:shd w:val="clear" w:color="auto" w:fill="FFFFFF"/>
            <w:tcW w:w="4608" w:type="dx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BPMN process definitions</w:t>
            </w:r>
            <w:r>
              <w:rPr>
                <w:sz w:val="18"/>
              </w:rPr>
              <w:t xml:space="preserve"> — Champion, Challenger, Vulnerable, Low Value workflows</w:t>
            </w:r>
          </w:p>
        </w:tc>
        <w:tc>
          <w:tcPr>
            <w:tcW w:type="dxa" w:w="2880"/>
            <w:shd w:val="clear" w:color="auto" w:fill="FFFFFF"/>
            <w:tcW w:w="1152" w:type="dxa"/>
          </w:tcPr>
          <w:p>
            <w:r>
              <w:rPr>
                <w:sz w:val="18"/>
              </w:rPr>
              <w:t>5–10 days</w:t>
            </w:r>
          </w:p>
        </w:tc>
        <w:tc>
          <w:tcPr>
            <w:tcW w:type="dxa" w:w="2880"/>
            <w:shd w:val="clear" w:color="auto" w:fill="FFFFFF"/>
            <w:tcW w:w="3600" w:type="dxa"/>
          </w:tcPr>
          <w:p>
            <w:r>
              <w:rPr>
                <w:sz w:val="18"/>
              </w:rPr>
              <w:t>Largest dev workstream. Existing IRM BPMN templates provide patterns</w:t>
            </w:r>
          </w:p>
        </w:tc>
      </w:tr>
      <w:tr>
        <w:tc>
          <w:tcPr>
            <w:tcW w:type="dxa" w:w="2880"/>
            <w:shd w:val="clear" w:color="auto" w:fill="DEEAF1"/>
            <w:tcW w:w="4608" w:type="dxa"/>
          </w:tcPr>
          <w:p>
            <w:r>
              <w:rPr>
                <w:sz w:val="18"/>
              </w:rPr>
              <w:t>Demo-safe admin/config screen (editable parameters: wait days, template, queue assignment)</w:t>
            </w:r>
          </w:p>
        </w:tc>
        <w:tc>
          <w:tcPr>
            <w:tcW w:type="dxa" w:w="2880"/>
            <w:shd w:val="clear" w:color="auto" w:fill="DEEAF1"/>
            <w:tcW w:w="1152" w:type="dxa"/>
          </w:tcPr>
          <w:p>
            <w:r>
              <w:rPr>
                <w:sz w:val="18"/>
              </w:rPr>
              <w:t>3–5 days</w:t>
            </w:r>
          </w:p>
        </w:tc>
        <w:tc>
          <w:tcPr>
            <w:tcW w:type="dxa" w:w="2880"/>
            <w:shd w:val="clear" w:color="auto" w:fill="DEEAF1"/>
            <w:tcW w:w="3600" w:type="dxa"/>
          </w:tcPr>
          <w:p>
            <w:r>
              <w:rPr>
                <w:sz w:val="18"/>
              </w:rPr>
              <w:t>Configuration Workspace component; not a native Solon screen</w:t>
            </w:r>
          </w:p>
        </w:tc>
      </w:tr>
      <w:tr>
        <w:tc>
          <w:tcPr>
            <w:tcW w:type="dxa" w:w="2880"/>
            <w:shd w:val="clear" w:color="auto" w:fill="FFFFFF"/>
            <w:tcW w:w="4608" w:type="dxa"/>
          </w:tcPr>
          <w:p>
            <w:r>
              <w:rPr>
                <w:sz w:val="18"/>
              </w:rPr>
              <w:t>Inbound customer batch job (validation, reject handling, vulnerability fields)</w:t>
            </w:r>
          </w:p>
        </w:tc>
        <w:tc>
          <w:tcPr>
            <w:tcW w:type="dxa" w:w="2880"/>
            <w:shd w:val="clear" w:color="auto" w:fill="FFFFFF"/>
            <w:tcW w:w="1152" w:type="dxa"/>
          </w:tcPr>
          <w:p>
            <w:r>
              <w:rPr>
                <w:sz w:val="18"/>
              </w:rPr>
              <w:t>3–5 days</w:t>
            </w:r>
          </w:p>
        </w:tc>
        <w:tc>
          <w:tcPr>
            <w:tcW w:type="dxa" w:w="2880"/>
            <w:shd w:val="clear" w:color="auto" w:fill="FFFFFF"/>
            <w:tcW w:w="3600" w:type="dxa"/>
          </w:tcPr>
          <w:p>
            <w:r>
              <w:rPr>
                <w:sz w:val="18"/>
              </w:rPr>
              <w:t>Calls Registration API; code must be written</w:t>
            </w:r>
          </w:p>
        </w:tc>
      </w:tr>
      <w:tr>
        <w:tc>
          <w:tcPr>
            <w:tcW w:type="dxa" w:w="2880"/>
            <w:shd w:val="clear" w:color="auto" w:fill="DEEAF1"/>
            <w:tcW w:w="4608" w:type="dxa"/>
          </w:tcPr>
          <w:p>
            <w:r>
              <w:rPr>
                <w:sz w:val="18"/>
              </w:rPr>
              <w:t>Inbound debt batch job (revenue type mapping, debt age derivation, failed-record handling)</w:t>
            </w:r>
          </w:p>
        </w:tc>
        <w:tc>
          <w:tcPr>
            <w:tcW w:type="dxa" w:w="2880"/>
            <w:shd w:val="clear" w:color="auto" w:fill="DEEAF1"/>
            <w:tcW w:w="1152" w:type="dxa"/>
          </w:tcPr>
          <w:p>
            <w:r>
              <w:rPr>
                <w:sz w:val="18"/>
              </w:rPr>
              <w:t>3–5 days</w:t>
            </w:r>
          </w:p>
        </w:tc>
        <w:tc>
          <w:tcPr>
            <w:tcW w:type="dxa" w:w="2880"/>
            <w:shd w:val="clear" w:color="auto" w:fill="DEEAF1"/>
            <w:tcW w:w="3600" w:type="dxa"/>
          </w:tcPr>
          <w:p>
            <w:r>
              <w:rPr>
                <w:sz w:val="18"/>
              </w:rPr>
              <w:t>Calls Taxpayer Accounting API</w:t>
            </w:r>
          </w:p>
        </w:tc>
      </w:tr>
      <w:tr>
        <w:tc>
          <w:tcPr>
            <w:tcW w:type="dxa" w:w="2880"/>
            <w:shd w:val="clear" w:color="auto" w:fill="FFFFFF"/>
            <w:tcW w:w="4608" w:type="dxa"/>
          </w:tcPr>
          <w:p>
            <w:r>
              <w:rPr>
                <w:sz w:val="18"/>
              </w:rPr>
              <w:t>Real-time create/update API endpoints (Demo 1)</w:t>
            </w:r>
          </w:p>
        </w:tc>
        <w:tc>
          <w:tcPr>
            <w:tcW w:type="dxa" w:w="2880"/>
            <w:shd w:val="clear" w:color="auto" w:fill="FFFFFF"/>
            <w:tcW w:w="1152" w:type="dxa"/>
          </w:tcPr>
          <w:p>
            <w:r>
              <w:rPr>
                <w:sz w:val="18"/>
              </w:rPr>
              <w:t>1–2 days</w:t>
            </w:r>
          </w:p>
        </w:tc>
        <w:tc>
          <w:tcPr>
            <w:tcW w:type="dxa" w:w="2880"/>
            <w:shd w:val="clear" w:color="auto" w:fill="FFFFFF"/>
            <w:tcW w:w="3600" w:type="dxa"/>
          </w:tcPr>
          <w:p>
            <w:r>
              <w:rPr>
                <w:sz w:val="18"/>
              </w:rPr>
              <w:t>Thin layer wrapping existing Solon APIs</w:t>
            </w:r>
          </w:p>
        </w:tc>
      </w:tr>
      <w:tr>
        <w:tc>
          <w:tcPr>
            <w:tcW w:type="dxa" w:w="2880"/>
            <w:shd w:val="clear" w:color="auto" w:fill="DEEAF1"/>
            <w:tcW w:w="4608" w:type="dxa"/>
          </w:tcPr>
          <w:p>
            <w:r>
              <w:rPr>
                <w:sz w:val="18"/>
              </w:rPr>
              <w:t>Event/queue demo — trigger endpoint, status screen, downstream re-evaluation wiring</w:t>
            </w:r>
          </w:p>
        </w:tc>
        <w:tc>
          <w:tcPr>
            <w:tcW w:type="dxa" w:w="2880"/>
            <w:shd w:val="clear" w:color="auto" w:fill="DEEAF1"/>
            <w:tcW w:w="1152" w:type="dxa"/>
          </w:tcPr>
          <w:p>
            <w:r>
              <w:rPr>
                <w:sz w:val="18"/>
              </w:rPr>
              <w:t>3–5 days</w:t>
            </w:r>
          </w:p>
        </w:tc>
        <w:tc>
          <w:tcPr>
            <w:tcW w:type="dxa" w:w="2880"/>
            <w:shd w:val="clear" w:color="auto" w:fill="DEEAF1"/>
            <w:tcW w:w="3600" w:type="dxa"/>
          </w:tcPr>
          <w:p>
            <w:r>
              <w:rPr>
                <w:sz w:val="18"/>
              </w:rPr>
              <w:t>"Income Updated" → Drools → treatment change</w:t>
            </w:r>
          </w:p>
        </w:tc>
      </w:tr>
      <w:tr>
        <w:tc>
          <w:tcPr>
            <w:tcW w:type="dxa" w:w="2880"/>
            <w:shd w:val="clear" w:color="auto" w:fill="FFFFFF"/>
            <w:tcW w:w="4608" w:type="dxa"/>
          </w:tcPr>
          <w:p>
            <w:r>
              <w:rPr>
                <w:sz w:val="18"/>
              </w:rPr>
              <w:t>Payment callback adapter (inbound payment → match → allocate → audit)</w:t>
            </w:r>
          </w:p>
        </w:tc>
        <w:tc>
          <w:tcPr>
            <w:tcW w:type="dxa" w:w="2880"/>
            <w:shd w:val="clear" w:color="auto" w:fill="FFFFFF"/>
            <w:tcW w:w="1152" w:type="dxa"/>
          </w:tcPr>
          <w:p>
            <w:r>
              <w:rPr>
                <w:sz w:val="18"/>
              </w:rPr>
              <w:t>2–3 days</w:t>
            </w:r>
          </w:p>
        </w:tc>
        <w:tc>
          <w:tcPr>
            <w:tcW w:type="dxa" w:w="2880"/>
            <w:shd w:val="clear" w:color="auto" w:fill="FFFFFF"/>
            <w:tcW w:w="3600" w:type="dxa"/>
          </w:tcPr>
          <w:p>
            <w:r>
              <w:rPr>
                <w:sz w:val="18"/>
              </w:rPr>
              <w:t>Uses PUT /payment-events/{id}/distribute</w:t>
            </w:r>
          </w:p>
        </w:tc>
      </w:tr>
      <w:tr>
        <w:tc>
          <w:tcPr>
            <w:tcW w:type="dxa" w:w="2880"/>
            <w:shd w:val="clear" w:color="auto" w:fill="DEEAF1"/>
            <w:tcW w:w="4608" w:type="dxa"/>
          </w:tcPr>
          <w:p>
            <w:r>
              <w:rPr>
                <w:sz w:val="18"/>
              </w:rPr>
              <w:t>Drools decision rules — segmentation, affordability, vulnerability scoring</w:t>
            </w:r>
          </w:p>
        </w:tc>
        <w:tc>
          <w:tcPr>
            <w:tcW w:type="dxa" w:w="2880"/>
            <w:shd w:val="clear" w:color="auto" w:fill="DEEAF1"/>
            <w:tcW w:w="1152" w:type="dxa"/>
          </w:tcPr>
          <w:p>
            <w:r>
              <w:rPr>
                <w:sz w:val="18"/>
              </w:rPr>
              <w:t>3–5 days</w:t>
            </w:r>
          </w:p>
        </w:tc>
        <w:tc>
          <w:tcPr>
            <w:tcW w:type="dxa" w:w="2880"/>
            <w:shd w:val="clear" w:color="auto" w:fill="DEEAF1"/>
            <w:tcW w:w="3600" w:type="dxa"/>
          </w:tcPr>
          <w:p>
            <w:r>
              <w:rPr>
                <w:sz w:val="18"/>
              </w:rPr>
              <w:t>KIE containers must be authored and deployed</w:t>
            </w:r>
          </w:p>
        </w:tc>
      </w:tr>
      <w:tr>
        <w:tc>
          <w:tcPr>
            <w:tcW w:type="dxa" w:w="2880"/>
            <w:shd w:val="clear" w:color="auto" w:fill="FFFFFF"/>
            <w:tcW w:w="4608" w:type="dxa"/>
          </w:tcPr>
          <w:p>
            <w:r>
              <w:rPr>
                <w:sz w:val="18"/>
              </w:rPr>
              <w:t>Income &amp; expenditure capture UI and affordability calculation model</w:t>
            </w:r>
          </w:p>
        </w:tc>
        <w:tc>
          <w:tcPr>
            <w:tcW w:type="dxa" w:w="2880"/>
            <w:shd w:val="clear" w:color="auto" w:fill="FFFFFF"/>
            <w:tcW w:w="1152" w:type="dxa"/>
          </w:tcPr>
          <w:p>
            <w:r>
              <w:rPr>
                <w:sz w:val="18"/>
              </w:rPr>
              <w:t>5–8 days</w:t>
            </w:r>
          </w:p>
        </w:tc>
        <w:tc>
          <w:tcPr>
            <w:tcW w:type="dxa" w:w="2880"/>
            <w:shd w:val="clear" w:color="auto" w:fill="FFFFFF"/>
            <w:tcW w:w="3600" w:type="dxa"/>
          </w:tcPr>
          <w:p>
            <w:r>
              <w:rPr>
                <w:sz w:val="18"/>
              </w:rPr>
              <w:t>Layer-built; Drools runtime and pay plan pause exist</w:t>
            </w:r>
          </w:p>
        </w:tc>
      </w:tr>
      <w:tr>
        <w:tc>
          <w:tcPr>
            <w:tcW w:type="dxa" w:w="2880"/>
            <w:shd w:val="clear" w:color="auto" w:fill="DEEAF1"/>
            <w:tcW w:w="4608" w:type="dxa"/>
          </w:tcPr>
          <w:p>
            <w:r>
              <w:rPr>
                <w:sz w:val="18"/>
              </w:rPr>
              <w:t>Joint debt split logic (50/50, 1p residual write-off)</w:t>
            </w:r>
          </w:p>
        </w:tc>
        <w:tc>
          <w:tcPr>
            <w:tcW w:type="dxa" w:w="2880"/>
            <w:shd w:val="clear" w:color="auto" w:fill="DEEAF1"/>
            <w:tcW w:w="1152" w:type="dxa"/>
          </w:tcPr>
          <w:p>
            <w:r>
              <w:rPr>
                <w:sz w:val="18"/>
              </w:rPr>
              <w:t>3–5 days</w:t>
            </w:r>
          </w:p>
        </w:tc>
        <w:tc>
          <w:tcPr>
            <w:tcW w:type="dxa" w:w="2880"/>
            <w:shd w:val="clear" w:color="auto" w:fill="DEEAF1"/>
            <w:tcW w:w="3600" w:type="dxa"/>
          </w:tcPr>
          <w:p>
            <w:r>
              <w:rPr>
                <w:sz w:val="18"/>
              </w:rPr>
              <w:t>Custom BPMN/service on top of write-off API</w:t>
            </w:r>
          </w:p>
        </w:tc>
      </w:tr>
      <w:tr>
        <w:tc>
          <w:tcPr>
            <w:tcW w:type="dxa" w:w="2880"/>
            <w:shd w:val="clear" w:color="auto" w:fill="FFFFFF"/>
            <w:tcW w:w="4608" w:type="dxa"/>
          </w:tcPr>
          <w:p>
            <w:r>
              <w:rPr>
                <w:sz w:val="18"/>
              </w:rPr>
              <w:t>Appointee routing (multi-party contact send)</w:t>
            </w:r>
          </w:p>
        </w:tc>
        <w:tc>
          <w:tcPr>
            <w:tcW w:type="dxa" w:w="2880"/>
            <w:shd w:val="clear" w:color="auto" w:fill="FFFFFF"/>
            <w:tcW w:w="1152" w:type="dxa"/>
          </w:tcPr>
          <w:p>
            <w:r>
              <w:rPr>
                <w:sz w:val="18"/>
              </w:rPr>
              <w:t>1–2 days</w:t>
            </w:r>
          </w:p>
        </w:tc>
        <w:tc>
          <w:tcPr>
            <w:tcW w:type="dxa" w:w="2880"/>
            <w:shd w:val="clear" w:color="auto" w:fill="FFFFFF"/>
            <w:tcW w:w="3600" w:type="dxa"/>
          </w:tcPr>
          <w:p>
            <w:r>
              <w:rPr>
                <w:sz w:val="18"/>
              </w:rPr>
              <w:t>recipientPartyRole field exists; relationship type config needed</w:t>
            </w:r>
          </w:p>
        </w:tc>
      </w:tr>
      <w:tr>
        <w:tc>
          <w:tcPr>
            <w:tcW w:type="dxa" w:w="2880"/>
            <w:shd w:val="clear" w:color="auto" w:fill="DEEAF1"/>
            <w:tcW w:w="4608" w:type="dxa"/>
          </w:tcPr>
          <w:p>
            <w:r>
              <w:rPr>
                <w:sz w:val="18"/>
              </w:rPr>
              <w:t>Direct debit mandate/schedule and payment monitoring</w:t>
            </w:r>
          </w:p>
        </w:tc>
        <w:tc>
          <w:tcPr>
            <w:tcW w:type="dxa" w:w="2880"/>
            <w:shd w:val="clear" w:color="auto" w:fill="DEEAF1"/>
            <w:tcW w:w="1152" w:type="dxa"/>
          </w:tcPr>
          <w:p>
            <w:r>
              <w:rPr>
                <w:sz w:val="18"/>
              </w:rPr>
              <w:t>2–4 days</w:t>
            </w:r>
          </w:p>
        </w:tc>
        <w:tc>
          <w:tcPr>
            <w:tcW w:type="dxa" w:w="2880"/>
            <w:shd w:val="clear" w:color="auto" w:fill="DEEAF1"/>
            <w:tcW w:w="3600" w:type="dxa"/>
          </w:tcPr>
          <w:p>
            <w:r>
              <w:rPr>
                <w:sz w:val="18"/>
              </w:rPr>
              <w:t>May require provider integration</w:t>
            </w:r>
          </w:p>
        </w:tc>
      </w:tr>
      <w:tr>
        <w:tc>
          <w:tcPr>
            <w:tcW w:type="dxa" w:w="2880"/>
            <w:shd w:val="clear" w:color="auto" w:fill="FFFFFF"/>
            <w:tcW w:w="4608" w:type="dxa"/>
          </w:tcPr>
          <w:p>
            <w:r>
              <w:rPr>
                <w:sz w:val="18"/>
              </w:rPr>
              <w:t>Operational report view — payment performance by case type</w:t>
            </w:r>
          </w:p>
        </w:tc>
        <w:tc>
          <w:tcPr>
            <w:tcW w:type="dxa" w:w="2880"/>
            <w:shd w:val="clear" w:color="auto" w:fill="FFFFFF"/>
            <w:tcW w:w="1152" w:type="dxa"/>
          </w:tcPr>
          <w:p>
            <w:r>
              <w:rPr>
                <w:sz w:val="18"/>
              </w:rPr>
              <w:t>2–3 days</w:t>
            </w:r>
          </w:p>
        </w:tc>
        <w:tc>
          <w:tcPr>
            <w:tcW w:type="dxa" w:w="2880"/>
            <w:shd w:val="clear" w:color="auto" w:fill="FFFFFF"/>
            <w:tcW w:w="3600" w:type="dxa"/>
          </w:tcPr>
          <w:p>
            <w:r>
              <w:rPr>
                <w:sz w:val="18"/>
              </w:rPr>
              <w:t>Data exists in Solon; dashboard surface is layer-built</w:t>
            </w:r>
          </w:p>
        </w:tc>
      </w:tr>
      <w:tr>
        <w:tc>
          <w:tcPr>
            <w:tcW w:type="dxa" w:w="2880"/>
            <w:shd w:val="clear" w:color="auto" w:fill="DEEAF1"/>
            <w:tcW w:w="4608" w:type="dxa"/>
          </w:tcPr>
          <w:p>
            <w:r>
              <w:rPr>
                <w:sz w:val="18"/>
              </w:rPr>
              <w:t>Strategy simulation and champion/challenger results dashboard</w:t>
            </w:r>
          </w:p>
        </w:tc>
        <w:tc>
          <w:tcPr>
            <w:tcW w:type="dxa" w:w="2880"/>
            <w:shd w:val="clear" w:color="auto" w:fill="DEEAF1"/>
            <w:tcW w:w="1152" w:type="dxa"/>
          </w:tcPr>
          <w:p>
            <w:r>
              <w:rPr>
                <w:sz w:val="18"/>
              </w:rPr>
              <w:t>8–15 days</w:t>
            </w:r>
          </w:p>
        </w:tc>
        <w:tc>
          <w:tcPr>
            <w:tcW w:type="dxa" w:w="2880"/>
            <w:shd w:val="clear" w:color="auto" w:fill="DEEAF1"/>
            <w:tcW w:w="3600" w:type="dxa"/>
          </w:tcPr>
          <w:p>
            <w:r>
              <w:rPr>
                <w:sz w:val="18"/>
              </w:rPr>
              <w:t>Layer-owned; Risk Analysis API provides primitives</w:t>
            </w:r>
          </w:p>
        </w:tc>
      </w:tr>
    </w:tbl>
    <w:p/>
    <w:p>
      <w:pPr>
        <w:pStyle w:val="Heading2"/>
      </w:pPr>
      <w:r>
        <w:rPr>
          <w:color w:val="2E74B5"/>
        </w:rPr>
        <w:t>Genuine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  <w:tcW w:w="432" w:type="dxa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val="clear" w:color="auto" w:fill="1F497D"/>
            <w:tcW w:w="3168" w:type="dxa"/>
          </w:tcPr>
          <w:p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160"/>
            <w:shd w:val="clear" w:color="auto" w:fill="1F497D"/>
            <w:tcW w:w="2304" w:type="dxa"/>
          </w:tcPr>
          <w:p>
            <w:r>
              <w:rPr>
                <w:b/>
                <w:color w:val="FFFFFF"/>
                <w:sz w:val="18"/>
              </w:rPr>
              <w:t>Demo impact</w:t>
            </w:r>
          </w:p>
        </w:tc>
        <w:tc>
          <w:tcPr>
            <w:tcW w:type="dxa" w:w="2160"/>
            <w:shd w:val="clear" w:color="auto" w:fill="1F497D"/>
            <w:tcW w:w="3456" w:type="dxa"/>
          </w:tcPr>
          <w:p>
            <w:r>
              <w:rPr>
                <w:b/>
                <w:color w:val="FFFFFF"/>
                <w:sz w:val="18"/>
              </w:rPr>
              <w:t>Workaround</w:t>
            </w:r>
          </w:p>
        </w:tc>
      </w:tr>
      <w:tr>
        <w:tc>
          <w:tcPr>
            <w:tcW w:type="dxa" w:w="2160"/>
            <w:shd w:val="clear" w:color="auto" w:fill="DEEAF1"/>
            <w:tcW w:w="432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color="auto" w:fill="DEEAF1"/>
            <w:tcW w:w="3168" w:type="dx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Household as a first-class entity</w:t>
            </w:r>
            <w:r>
              <w:rPr>
                <w:sz w:val="18"/>
              </w:rPr>
              <w:t xml:space="preserve"> — Solon supports linked party role relationships; whether a named Household entity exists independently is unconfirmed</w:t>
            </w:r>
          </w:p>
        </w:tc>
        <w:tc>
          <w:tcPr>
            <w:tcW w:type="dxa" w:w="2160"/>
            <w:shd w:val="clear" w:color="auto" w:fill="DEEAF1"/>
            <w:tcW w:w="2304" w:type="dxa"/>
          </w:tcPr>
          <w:p>
            <w:r>
              <w:rPr>
                <w:sz w:val="18"/>
              </w:rPr>
              <w:t>Flow 4 fails without a household view</w:t>
            </w:r>
          </w:p>
        </w:tc>
        <w:tc>
          <w:tcPr>
            <w:tcW w:type="dxa" w:w="2160"/>
            <w:shd w:val="clear" w:color="auto" w:fill="DEEAF1"/>
            <w:tcW w:w="3456" w:type="dxa"/>
          </w:tcPr>
          <w:p>
            <w:r>
              <w:rPr>
                <w:sz w:val="18"/>
              </w:rPr>
              <w:t>Assemble household view from linked party roles in the layer — feasible but non-trivial build</w:t>
            </w:r>
          </w:p>
        </w:tc>
      </w:tr>
      <w:tr>
        <w:tc>
          <w:tcPr>
            <w:tcW w:type="dxa" w:w="2160"/>
            <w:shd w:val="clear" w:color="auto" w:fill="FFFFFF"/>
            <w:tcW w:w="432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FFFFF"/>
            <w:tcW w:w="3168" w:type="dx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Visual strategy editor / no-code configuration surface</w:t>
            </w:r>
            <w:r>
              <w:rPr>
                <w:sz w:val="18"/>
              </w:rPr>
              <w:t xml:space="preserve"> — Solon BPMN engine accepts XML only; no business-facing canvas exists</w:t>
            </w:r>
          </w:p>
        </w:tc>
        <w:tc>
          <w:tcPr>
            <w:tcW w:type="dxa" w:w="2160"/>
            <w:shd w:val="clear" w:color="auto" w:fill="FFFFFF"/>
            <w:tcW w:w="2304" w:type="dxa"/>
          </w:tcPr>
          <w:p>
            <w:r>
              <w:rPr>
                <w:sz w:val="18"/>
              </w:rPr>
              <w:t>Flow 5 commercial case at risk</w:t>
            </w:r>
          </w:p>
        </w:tc>
        <w:tc>
          <w:tcPr>
            <w:tcW w:type="dxa" w:w="2160"/>
            <w:shd w:val="clear" w:color="auto" w:fill="FFFFFF"/>
            <w:tcW w:w="3456" w:type="dxa"/>
          </w:tcPr>
          <w:p>
            <w:r>
              <w:rPr>
                <w:sz w:val="18"/>
              </w:rPr>
              <w:t>Simplify to structured-form screen with editable parameters; acknowledged as the "demo-safe" scope reduction</w:t>
            </w:r>
          </w:p>
        </w:tc>
      </w:tr>
      <w:tr>
        <w:tc>
          <w:tcPr>
            <w:tcW w:type="dxa" w:w="2160"/>
            <w:shd w:val="clear" w:color="auto" w:fill="DEEAF1"/>
            <w:tcW w:w="432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DEEAF1"/>
            <w:tcW w:w="3168" w:type="dx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Historical simulation engine</w:t>
            </w:r>
            <w:r>
              <w:rPr>
                <w:sz w:val="18"/>
              </w:rPr>
              <w:t xml:space="preserve"> ("what would have happened?") — no equivalent in Solon</w:t>
            </w:r>
          </w:p>
        </w:tc>
        <w:tc>
          <w:tcPr>
            <w:tcW w:type="dxa" w:w="2160"/>
            <w:shd w:val="clear" w:color="auto" w:fill="DEEAF1"/>
            <w:tcW w:w="2304" w:type="dxa"/>
          </w:tcPr>
          <w:p>
            <w:r>
              <w:rPr>
                <w:sz w:val="18"/>
              </w:rPr>
              <w:t>Highest commercial risk. Transforms Flow 5 from a flowchart into an optimisation tool</w:t>
            </w:r>
          </w:p>
        </w:tc>
        <w:tc>
          <w:tcPr>
            <w:tcW w:type="dxa" w:w="2160"/>
            <w:shd w:val="clear" w:color="auto" w:fill="DEEAF1"/>
            <w:tcW w:w="3456" w:type="dxa"/>
          </w:tcPr>
          <w:p>
            <w:r>
              <w:rPr>
                <w:sz w:val="18"/>
              </w:rPr>
              <w:t>Pre-compute a convincing mock result — weakens impact; team must decide early</w:t>
            </w:r>
          </w:p>
        </w:tc>
      </w:tr>
      <w:tr>
        <w:tc>
          <w:tcPr>
            <w:tcW w:type="dxa" w:w="2160"/>
            <w:shd w:val="clear" w:color="auto" w:fill="FFFFFF"/>
            <w:tcW w:w="432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FFFFF"/>
            <w:tcW w:w="3168" w:type="dx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Champion/Challenger assignment, tracking, and comparative reporting</w:t>
            </w:r>
            <w:r>
              <w:rPr>
                <w:sz w:val="18"/>
              </w:rPr>
              <w:t xml:space="preserve"> — no C/C concept in Solon natively</w:t>
            </w:r>
          </w:p>
        </w:tc>
        <w:tc>
          <w:tcPr>
            <w:tcW w:type="dxa" w:w="2160"/>
            <w:shd w:val="clear" w:color="auto" w:fill="FFFFFF"/>
            <w:tcW w:w="2304" w:type="dxa"/>
          </w:tcPr>
          <w:p>
            <w:r>
              <w:rPr>
                <w:sz w:val="18"/>
              </w:rPr>
              <w:t>Flow 5 / Flow 6 results view cannot run live</w:t>
            </w:r>
          </w:p>
        </w:tc>
        <w:tc>
          <w:tcPr>
            <w:tcW w:type="dxa" w:w="2160"/>
            <w:shd w:val="clear" w:color="auto" w:fill="FFFFFF"/>
            <w:tcW w:w="3456" w:type="dxa"/>
          </w:tcPr>
          <w:p>
            <w:r>
              <w:rPr>
                <w:sz w:val="18"/>
              </w:rPr>
              <w:t>Pre-seed C/C data with meaningful comparative results before demo day</w:t>
            </w:r>
          </w:p>
        </w:tc>
      </w:tr>
      <w:tr>
        <w:tc>
          <w:tcPr>
            <w:tcW w:type="dxa" w:w="2160"/>
            <w:shd w:val="clear" w:color="auto" w:fill="DEEAF1"/>
            <w:tcW w:w="432" w:type="dx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DEEAF1"/>
            <w:tcW w:w="3168" w:type="dx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Benefit status as a structured data field</w:t>
            </w:r>
            <w:r>
              <w:rPr>
                <w:sz w:val="18"/>
              </w:rPr>
              <w:t xml:space="preserve"> — not a confirmed named field in Solon Registration API</w:t>
            </w:r>
          </w:p>
        </w:tc>
        <w:tc>
          <w:tcPr>
            <w:tcW w:type="dxa" w:w="2160"/>
            <w:shd w:val="clear" w:color="auto" w:fill="DEEAF1"/>
            <w:tcW w:w="2304" w:type="dxa"/>
          </w:tcPr>
          <w:p>
            <w:r>
              <w:rPr>
                <w:sz w:val="18"/>
              </w:rPr>
              <w:t>Segmentation and treatment logic depends on it</w:t>
            </w:r>
          </w:p>
        </w:tc>
        <w:tc>
          <w:tcPr>
            <w:tcW w:type="dxa" w:w="2160"/>
            <w:shd w:val="clear" w:color="auto" w:fill="DEEAF1"/>
            <w:tcW w:w="3456" w:type="dxa"/>
          </w:tcPr>
          <w:p>
            <w:r>
              <w:rPr>
                <w:sz w:val="18"/>
              </w:rPr>
              <w:t>Carry in dataArea/additionalInfo; read via Drools — functional but not a clean native field</w:t>
            </w:r>
          </w:p>
        </w:tc>
      </w:tr>
      <w:tr>
        <w:tc>
          <w:tcPr>
            <w:tcW w:type="dxa" w:w="2160"/>
            <w:shd w:val="clear" w:color="auto" w:fill="FFFFFF"/>
            <w:tcW w:w="432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FFFFF"/>
            <w:tcW w:w="3168" w:type="dx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Structured vulnerability entity with clinical richness</w:t>
            </w:r>
            <w:r>
              <w:rPr>
                <w:sz w:val="18"/>
              </w:rPr>
              <w:t xml:space="preserve"> — Solon stores the suppression outcome, not the clinical assessment</w:t>
            </w:r>
          </w:p>
        </w:tc>
        <w:tc>
          <w:tcPr>
            <w:tcW w:type="dxa" w:w="2160"/>
            <w:shd w:val="clear" w:color="auto" w:fill="FFFFFF"/>
            <w:tcW w:w="2304" w:type="dxa"/>
          </w:tcPr>
          <w:p>
            <w:r>
              <w:rPr>
                <w:sz w:val="18"/>
              </w:rPr>
              <w:t>Vulnerability capture form (Flow 2) and exception report (Flow 6) are entirely layer-built</w:t>
            </w:r>
          </w:p>
        </w:tc>
        <w:tc>
          <w:tcPr>
            <w:tcW w:type="dxa" w:w="2160"/>
            <w:shd w:val="clear" w:color="auto" w:fill="FFFFFF"/>
            <w:tcW w:w="3456" w:type="dxa"/>
          </w:tcPr>
          <w:p>
            <w:r>
              <w:rPr>
                <w:sz w:val="18"/>
              </w:rPr>
              <w:t>Known design decision (ADR-006); Operational DB in Risk, I&amp;E &amp; Compliance Core Service owns this data</w:t>
            </w:r>
          </w:p>
        </w:tc>
      </w:tr>
      <w:tr>
        <w:tc>
          <w:tcPr>
            <w:tcW w:type="dxa" w:w="2160"/>
            <w:shd w:val="clear" w:color="auto" w:fill="DEEAF1"/>
            <w:tcW w:w="432" w:type="dx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DEEAF1"/>
            <w:tcW w:w="3168" w:type="dx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DCA placement transmission and acknowledgement</w:t>
            </w:r>
            <w:r>
              <w:rPr>
                <w:sz w:val="18"/>
              </w:rPr>
              <w:t xml:space="preserve"> — handover initiation exists; outbound transmission and acknowledgement receipt do not</w:t>
            </w:r>
          </w:p>
        </w:tc>
        <w:tc>
          <w:tcPr>
            <w:tcW w:type="dxa" w:w="2160"/>
            <w:shd w:val="clear" w:color="auto" w:fill="DEEAF1"/>
            <w:tcW w:w="2304" w:type="dxa"/>
          </w:tcPr>
          <w:p>
            <w:r>
              <w:rPr>
                <w:sz w:val="18"/>
              </w:rPr>
              <w:t>Flow 3 DCA placement step</w:t>
            </w:r>
          </w:p>
        </w:tc>
        <w:tc>
          <w:tcPr>
            <w:tcW w:type="dxa" w:w="2160"/>
            <w:shd w:val="clear" w:color="auto" w:fill="DEEAF1"/>
            <w:tcW w:w="3456" w:type="dxa"/>
          </w:tcPr>
          <w:p>
            <w:r>
              <w:rPr>
                <w:sz w:val="18"/>
              </w:rPr>
              <w:t>Mock DCA endpoint for demo — 1–2 day build</w:t>
            </w:r>
          </w:p>
        </w:tc>
      </w:tr>
      <w:tr>
        <w:tc>
          <w:tcPr>
            <w:tcW w:type="dxa" w:w="2160"/>
            <w:shd w:val="clear" w:color="auto" w:fill="FFFFFF"/>
            <w:tcW w:w="432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FFFFF"/>
            <w:tcW w:w="3168" w:type="dx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Real-time operational dashboard</w:t>
            </w:r>
            <w:r>
              <w:rPr>
                <w:sz w:val="18"/>
              </w:rPr>
              <w:t xml:space="preserve"> — queue volumes, SLA health, breach trends, C/C results, vulnerability exception depth</w:t>
            </w:r>
          </w:p>
        </w:tc>
        <w:tc>
          <w:tcPr>
            <w:tcW w:type="dxa" w:w="2160"/>
            <w:shd w:val="clear" w:color="auto" w:fill="FFFFFF"/>
            <w:tcW w:w="2304" w:type="dxa"/>
          </w:tcPr>
          <w:p>
            <w:r>
              <w:rPr>
                <w:sz w:val="18"/>
              </w:rPr>
              <w:t>Flow 6 is entirely layer-built</w:t>
            </w:r>
          </w:p>
        </w:tc>
        <w:tc>
          <w:tcPr>
            <w:tcW w:type="dxa" w:w="2160"/>
            <w:shd w:val="clear" w:color="auto" w:fill="FFFFFF"/>
            <w:tcW w:w="3456" w:type="dxa"/>
          </w:tcPr>
          <w:p>
            <w:r>
              <w:rPr>
                <w:sz w:val="18"/>
              </w:rPr>
              <w:t>Planned scope (ADR-001); no shortcut — must be built</w:t>
            </w:r>
          </w:p>
        </w:tc>
      </w:tr>
      <w:tr>
        <w:tc>
          <w:tcPr>
            <w:tcW w:type="dxa" w:w="2160"/>
            <w:shd w:val="clear" w:color="auto" w:fill="DEEAF1"/>
            <w:tcW w:w="432" w:type="dxa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DEEAF1"/>
            <w:tcW w:w="3168" w:type="dx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Debt age field</w:t>
            </w:r>
            <w:r>
              <w:rPr>
                <w:sz w:val="18"/>
              </w:rPr>
              <w:t xml:space="preserve"> — no explicit "debt age in days" field; must be derived from effectiveDate</w:t>
            </w:r>
          </w:p>
        </w:tc>
        <w:tc>
          <w:tcPr>
            <w:tcW w:type="dxa" w:w="2160"/>
            <w:shd w:val="clear" w:color="auto" w:fill="DEEAF1"/>
            <w:tcW w:w="2304" w:type="dxa"/>
          </w:tcPr>
          <w:p>
            <w:r>
              <w:rPr>
                <w:sz w:val="18"/>
              </w:rPr>
              <w:t>Segmentation rules depend on age bands</w:t>
            </w:r>
          </w:p>
        </w:tc>
        <w:tc>
          <w:tcPr>
            <w:tcW w:type="dxa" w:w="2160"/>
            <w:shd w:val="clear" w:color="auto" w:fill="DEEAF1"/>
            <w:tcW w:w="3456" w:type="dxa"/>
          </w:tcPr>
          <w:p>
            <w:r>
              <w:rPr>
                <w:sz w:val="18"/>
              </w:rPr>
              <w:t>Derive from effectiveDate in Drools — straightforward; needs testing before demo</w:t>
            </w:r>
          </w:p>
        </w:tc>
      </w:tr>
      <w:tr>
        <w:tc>
          <w:tcPr>
            <w:tcW w:type="dxa" w:w="2160"/>
            <w:shd w:val="clear" w:color="auto" w:fill="FFFFFF"/>
            <w:tcW w:w="432" w:type="dxa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  <w:tcW w:w="3168" w:type="dx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Strategy version history, rollback, and peer review as a UI experience</w:t>
            </w:r>
            <w:r>
              <w:rPr>
                <w:sz w:val="18"/>
              </w:rPr>
              <w:t xml:space="preserve"> — Solon supports deploying new BPMN versions; no native comparison or rollback UI</w:t>
            </w:r>
          </w:p>
        </w:tc>
        <w:tc>
          <w:tcPr>
            <w:tcW w:type="dxa" w:w="2160"/>
            <w:shd w:val="clear" w:color="auto" w:fill="FFFFFF"/>
            <w:tcW w:w="2304" w:type="dxa"/>
          </w:tcPr>
          <w:p>
            <w:r>
              <w:rPr>
                <w:sz w:val="18"/>
              </w:rPr>
              <w:t>Flow 5 version management story</w:t>
            </w:r>
          </w:p>
        </w:tc>
        <w:tc>
          <w:tcPr>
            <w:tcW w:type="dxa" w:w="2160"/>
            <w:shd w:val="clear" w:color="auto" w:fill="FFFFFF"/>
            <w:tcW w:w="3456" w:type="dxa"/>
          </w:tcPr>
          <w:p>
            <w:r>
              <w:rPr>
                <w:sz w:val="18"/>
              </w:rPr>
              <w:t>Simple version list + re-deploy of prior BPMN definition — functional but not polished</w:t>
            </w:r>
          </w:p>
        </w:tc>
      </w:tr>
    </w:tbl>
    <w:p/>
    <w:p>
      <w:pPr>
        <w:pStyle w:val="Heading2"/>
      </w:pPr>
      <w:r>
        <w:rPr>
          <w:color w:val="2E74B5"/>
        </w:rPr>
        <w:t>Risk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  <w:tcW w:w="3600" w:type="dxa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880"/>
            <w:shd w:val="clear" w:color="auto" w:fill="1F497D"/>
            <w:tcW w:w="1152" w:type="dxa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880"/>
            <w:shd w:val="clear" w:color="auto" w:fill="1F497D"/>
            <w:tcW w:w="4608" w:type="dxa"/>
          </w:tcPr>
          <w:p>
            <w:r>
              <w:rPr>
                <w:b/>
                <w:color w:val="FFFFFF"/>
                <w:sz w:val="18"/>
              </w:rPr>
              <w:t>Decision needed</w:t>
            </w:r>
          </w:p>
        </w:tc>
      </w:tr>
      <w:tr>
        <w:tc>
          <w:tcPr>
            <w:tcW w:type="dxa" w:w="2880"/>
            <w:shd w:val="clear" w:color="auto" w:fill="DEEAF1"/>
            <w:tcW w:w="3600" w:type="dxa"/>
          </w:tcPr>
          <w:p>
            <w:r>
              <w:rPr>
                <w:sz w:val="18"/>
              </w:rPr>
              <w:t>Flow 5 simulation engine — real replay vs. pre-computed mock</w:t>
            </w:r>
          </w:p>
        </w:tc>
        <w:tc>
          <w:tcPr>
            <w:tcW w:type="dxa" w:w="2880"/>
            <w:shd w:val="clear" w:color="auto" w:fill="DEEAF1"/>
            <w:tcW w:w="1152" w:type="dxa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  <w:shd w:val="clear" w:color="auto" w:fill="DEEAF1"/>
            <w:tcW w:w="4608" w:type="dxa"/>
          </w:tcPr>
          <w:p>
            <w:r>
              <w:rPr>
                <w:sz w:val="18"/>
              </w:rPr>
              <w:t>Decide before build starts. Mock weakens the commercial "moment of truth" but eliminates 8–15 days of build risk.</w:t>
            </w:r>
          </w:p>
        </w:tc>
      </w:tr>
      <w:tr>
        <w:tc>
          <w:tcPr>
            <w:tcW w:type="dxa" w:w="2880"/>
            <w:shd w:val="clear" w:color="auto" w:fill="FFFFFF"/>
            <w:tcW w:w="3600" w:type="dxa"/>
          </w:tcPr>
          <w:p>
            <w:r>
              <w:rPr>
                <w:sz w:val="18"/>
              </w:rPr>
              <w:t>Household entity model — Solon native vs. layer composition</w:t>
            </w:r>
          </w:p>
        </w:tc>
        <w:tc>
          <w:tcPr>
            <w:tcW w:type="dxa" w:w="2880"/>
            <w:shd w:val="clear" w:color="auto" w:fill="FFFFFF"/>
            <w:tcW w:w="1152" w:type="dxa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  <w:shd w:val="clear" w:color="auto" w:fill="FFFFFF"/>
            <w:tcW w:w="4608" w:type="dxa"/>
          </w:tcPr>
          <w:p>
            <w:r>
              <w:rPr>
                <w:sz w:val="18"/>
              </w:rPr>
              <w:t>Confirm technically before sprint planning. Affects Flow 4 scope significantly.</w:t>
            </w:r>
          </w:p>
        </w:tc>
      </w:tr>
      <w:tr>
        <w:tc>
          <w:tcPr>
            <w:tcW w:type="dxa" w:w="2880"/>
            <w:shd w:val="clear" w:color="auto" w:fill="DEEAF1"/>
            <w:tcW w:w="3600" w:type="dxa"/>
          </w:tcPr>
          <w:p>
            <w:r>
              <w:rPr>
                <w:sz w:val="18"/>
              </w:rPr>
              <w:t>Demo data seeding across all six flows</w:t>
            </w:r>
          </w:p>
        </w:tc>
        <w:tc>
          <w:tcPr>
            <w:tcW w:type="dxa" w:w="2880"/>
            <w:shd w:val="clear" w:color="auto" w:fill="DEEAF1"/>
            <w:tcW w:w="1152" w:type="dxa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  <w:shd w:val="clear" w:color="auto" w:fill="DEEAF1"/>
            <w:tcW w:w="4608" w:type="dxa"/>
          </w:tcPr>
          <w:p>
            <w:r>
              <w:rPr>
                <w:sz w:val="18"/>
              </w:rPr>
              <w:t>Plan and execute before build ends — not at the end. Household relationships, joint liabilities, C/C baseline data, and breach state all need realistic pre-seeded records.</w:t>
            </w:r>
          </w:p>
        </w:tc>
      </w:tr>
      <w:tr>
        <w:tc>
          <w:tcPr>
            <w:tcW w:type="dxa" w:w="2880"/>
            <w:shd w:val="clear" w:color="auto" w:fill="FFFFFF"/>
            <w:tcW w:w="3600" w:type="dxa"/>
          </w:tcPr>
          <w:p>
            <w:r>
              <w:rPr>
                <w:sz w:val="18"/>
              </w:rPr>
              <w:t>Benefit status field — confirm dataArea workaround works in Drools rules</w:t>
            </w:r>
          </w:p>
        </w:tc>
        <w:tc>
          <w:tcPr>
            <w:tcW w:type="dxa" w:w="2880"/>
            <w:shd w:val="clear" w:color="auto" w:fill="FFFFFF"/>
            <w:tcW w:w="1152" w:type="dxa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  <w:shd w:val="clear" w:color="auto" w:fill="FFFFFF"/>
            <w:tcW w:w="4608" w:type="dxa"/>
          </w:tcPr>
          <w:p>
            <w:r>
              <w:rPr>
                <w:sz w:val="18"/>
              </w:rPr>
              <w:t>Validate early; segmentation rules depend on it.</w:t>
            </w:r>
          </w:p>
        </w:tc>
      </w:tr>
      <w:tr>
        <w:tc>
          <w:tcPr>
            <w:tcW w:type="dxa" w:w="2880"/>
            <w:shd w:val="clear" w:color="auto" w:fill="DEEAF1"/>
            <w:tcW w:w="3600" w:type="dxa"/>
          </w:tcPr>
          <w:p>
            <w:r>
              <w:rPr>
                <w:sz w:val="18"/>
              </w:rPr>
              <w:t>DCA placement — mock vs. real DCA API</w:t>
            </w:r>
          </w:p>
        </w:tc>
        <w:tc>
          <w:tcPr>
            <w:tcW w:type="dxa" w:w="2880"/>
            <w:shd w:val="clear" w:color="auto" w:fill="DEEAF1"/>
            <w:tcW w:w="1152" w:type="dxa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  <w:shd w:val="clear" w:color="auto" w:fill="DEEAF1"/>
            <w:tcW w:w="4608" w:type="dxa"/>
          </w:tcPr>
          <w:p>
            <w:r>
              <w:rPr>
                <w:sz w:val="18"/>
              </w:rPr>
              <w:t>Mock endpoint is sufficient for demo; confirm with DWP expectations.</w:t>
            </w:r>
          </w:p>
        </w:tc>
      </w:tr>
    </w:tbl>
    <w:p/>
    <w:p>
      <w:pPr>
        <w:pStyle w:val="Heading2"/>
      </w:pPr>
      <w:r>
        <w:rPr>
          <w:color w:val="2E74B5"/>
        </w:rPr>
        <w:t>Key Decisions Required Before Build</w:t>
      </w:r>
    </w:p>
    <w:p>
      <w:pPr>
        <w:pStyle w:val="ListNumber"/>
      </w:pPr>
      <w:r>
        <w:t>Is Solon Tax's Household a first-class entity or a layer composition? (Needs technical confirmation)</w:t>
      </w:r>
    </w:p>
    <w:p>
      <w:pPr>
        <w:pStyle w:val="ListNumber"/>
      </w:pPr>
      <w:r>
        <w:t>Real historical simulation engine or pre-computed mock for Flow 5?</w:t>
      </w:r>
    </w:p>
    <w:p>
      <w:pPr>
        <w:pStyle w:val="ListNumber"/>
      </w:pPr>
      <w:r>
        <w:t>Benefit status: confirm dataArea/additionalInfo workaround is Drools-callable</w:t>
      </w:r>
    </w:p>
    <w:p>
      <w:pPr>
        <w:pStyle w:val="ListNumber"/>
      </w:pPr>
      <w:r>
        <w:t>DCA placement: mock endpoint vs. real DCA API integration for demo</w:t>
      </w:r>
    </w:p>
    <w:p>
      <w:pPr>
        <w:pStyle w:val="ListNumber"/>
      </w:pPr>
      <w:r>
        <w:t>End-to-end demo data seeding plan — covering all six primary flows — produced before build begins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