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44"/>
          <w:szCs w:val="44"/>
        </w:rPr>
        <w:t xml:space="preserve">Trevor Wills</w:t>
      </w:r>
    </w:p>
    <w:p>
      <w:pPr>
        <w:spacing w:after="60"/>
      </w:pPr>
      <w:r>
        <w:rPr>
          <w:b/>
          <w:bCs/>
          <w:color w:val="444444"/>
          <w:spacing w:val="10"/>
          <w:sz w:val="21"/>
          <w:szCs w:val="21"/>
        </w:rPr>
        <w:t xml:space="preserve">SENIOR DESIGN DIRECTOR  ·  CREATIVE DIRECTION  ·  CONCEPT TO COMMERCIALIZATION</w:t>
      </w:r>
    </w:p>
    <w:p>
      <w:pPr>
        <w:pBdr>
          <w:bottom w:val="single" w:color="1A1A1A" w:sz="8" w:space="4"/>
        </w:pBdr>
        <w:spacing w:after="60"/>
      </w:pPr>
      <w:r>
        <w:rPr>
          <w:sz w:val="21"/>
          <w:szCs w:val="21"/>
        </w:rPr>
        <w:t xml:space="preserve">Chicago, IL  •  (214) 218-4702  •  trevorwills@outlook.com  •  trevorwills.com  •  linkedin.com/in/trevorwills</w:t>
      </w:r>
    </w:p>
    <w:p>
      <w:pPr>
        <w:keepNext/>
        <w:pBdr>
          <w:bottom w:val="single" w:color="999999" w:sz="6" w:space="2"/>
        </w:pBdr>
        <w:spacing w:after="80" w:before="160"/>
      </w:pPr>
      <w:r>
        <w:rPr>
          <w:rFonts w:ascii="Calibri" w:cs="Calibri" w:eastAsia="Calibri" w:hAnsi="Calibri"/>
          <w:b/>
          <w:bCs/>
          <w:color w:val="000000"/>
          <w:spacing w:val="20"/>
          <w:sz w:val="22"/>
          <w:szCs w:val="22"/>
        </w:rPr>
        <w:t xml:space="preserve">PROFESSIONAL SUMMARY</w:t>
      </w:r>
    </w:p>
    <w:p>
      <w:pPr>
        <w:spacing w:after="40" w:line="252" w:lineRule="auto"/>
      </w:pPr>
      <w:r>
        <w:rPr>
          <w:sz w:val="21"/>
          <w:szCs w:val="21"/>
        </w:rPr>
        <w:t xml:space="preserve">Senior design leader with 16+ years directing creative strategy, product design, and innovation for technical apparel and accessories — from early concept through commercialization at enterprise scale. Direct design across 11 licensed global brands (Levi’s, Calvin Klein, Tommy Hilfiger, Columbia, Cole Haan, Tommy Bahama, Dickies, Kenneth Cole, Dockers, Red Wing, Guess) plus private-label programs for Target, Walmart, Macy’s, Costco, Kohl’s, and JCPenney at Randa Apparel &amp; Accessories, the world’s largest men’s accessories company. Builder of brands, teams, and systems — co-founded the company’s first owned brand, led its enterprise 3D transformation, and direct its cross-category sustainability roadmap. Industrial design background; equally fluent in art direction, construction and materials, and the P&amp;L conversation.</w:t>
      </w:r>
    </w:p>
    <w:p>
      <w:pPr>
        <w:keepNext/>
        <w:pBdr>
          <w:bottom w:val="single" w:color="999999" w:sz="6" w:space="2"/>
        </w:pBdr>
        <w:spacing w:after="80" w:before="160"/>
      </w:pPr>
      <w:r>
        <w:rPr>
          <w:rFonts w:ascii="Calibri" w:cs="Calibri" w:eastAsia="Calibri" w:hAnsi="Calibri"/>
          <w:b/>
          <w:bCs/>
          <w:color w:val="000000"/>
          <w:spacing w:val="20"/>
          <w:sz w:val="22"/>
          <w:szCs w:val="22"/>
        </w:rPr>
        <w:t xml:space="preserve">CAREER HIGHLIGHTS</w:t>
      </w:r>
    </w:p>
    <w:p>
      <w:pPr>
        <w:pStyle w:val="ListParagraph"/>
        <w:numPr>
          <w:ilvl w:val="0"/>
          <w:numId w:val="2"/>
        </w:numPr>
        <w:spacing w:after="30" w:line="248" w:lineRule="auto"/>
      </w:pPr>
      <w:r>
        <w:rPr>
          <w:b/>
          <w:bCs/>
          <w:sz w:val="21"/>
          <w:szCs w:val="21"/>
        </w:rPr>
        <w:t xml:space="preserve">Enterprise digital prototyping: </w:t>
      </w:r>
      <w:r>
        <w:rPr>
          <w:sz w:val="21"/>
          <w:szCs w:val="21"/>
        </w:rPr>
        <w:t xml:space="preserve">Researched, selected, and rolled out CLO 3D across the company in partnership with Target’s 3D Product Creation team — built the international 3D design team, set technical standards, and secured executive buy-in across Product Development, Operations, and IT. Result: 66% fewer physical samples, 35% faster speed-to-market, 2 weeks cut from the development cycle, 75% of approvals moved to digital.</w:t>
      </w:r>
    </w:p>
    <w:p>
      <w:pPr>
        <w:pStyle w:val="ListParagraph"/>
        <w:numPr>
          <w:ilvl w:val="0"/>
          <w:numId w:val="2"/>
        </w:numPr>
        <w:spacing w:after="30" w:line="248" w:lineRule="auto"/>
      </w:pPr>
      <w:r>
        <w:rPr>
          <w:b/>
          <w:bCs/>
          <w:sz w:val="21"/>
          <w:szCs w:val="21"/>
        </w:rPr>
        <w:t xml:space="preserve">0-to-1 brand build: </w:t>
      </w:r>
      <w:r>
        <w:rPr>
          <w:sz w:val="21"/>
          <w:szCs w:val="21"/>
        </w:rPr>
        <w:t xml:space="preserve">Co-founded Damen + Hastings, Randa’s first company-owned brand — created the brand identity, product line, design system, and retail framework, scaling from a Chicago pop-up to a national wholesale partnership with Kohl’s in under two years, including a Made-in-USA collaboration with Pintrill.</w:t>
      </w:r>
    </w:p>
    <w:p>
      <w:pPr>
        <w:pStyle w:val="ListParagraph"/>
        <w:numPr>
          <w:ilvl w:val="0"/>
          <w:numId w:val="2"/>
        </w:numPr>
        <w:spacing w:after="30" w:line="248" w:lineRule="auto"/>
      </w:pPr>
      <w:r>
        <w:rPr>
          <w:b/>
          <w:bCs/>
          <w:sz w:val="21"/>
          <w:szCs w:val="21"/>
        </w:rPr>
        <w:t xml:space="preserve">Creative direction with commercial results: </w:t>
      </w:r>
      <w:r>
        <w:rPr>
          <w:sz w:val="21"/>
          <w:szCs w:val="21"/>
        </w:rPr>
        <w:t xml:space="preserve">Directed creative for 15+ bi-annual seasonal collections across 11 licensed global brands; creative direction contributed to a +14% lift in average unit retail and a 4-point category shift.</w:t>
      </w:r>
    </w:p>
    <w:p>
      <w:pPr>
        <w:pStyle w:val="ListParagraph"/>
        <w:numPr>
          <w:ilvl w:val="0"/>
          <w:numId w:val="2"/>
        </w:numPr>
        <w:spacing w:after="30" w:line="248" w:lineRule="auto"/>
      </w:pPr>
      <w:r>
        <w:rPr>
          <w:b/>
          <w:bCs/>
          <w:sz w:val="21"/>
          <w:szCs w:val="21"/>
        </w:rPr>
        <w:t xml:space="preserve">Sustainability leadership: </w:t>
      </w:r>
      <w:r>
        <w:rPr>
          <w:sz w:val="21"/>
          <w:szCs w:val="21"/>
        </w:rPr>
        <w:t xml:space="preserve">Appointed Product Group Lead for the corporate ESG Committee, directing the cross-category sustainability roadmap across all product directors; pioneered the company’s earliest leather sustainability initiatives before formal ESG programs existed.</w:t>
      </w:r>
    </w:p>
    <w:p>
      <w:pPr>
        <w:pStyle w:val="ListParagraph"/>
        <w:numPr>
          <w:ilvl w:val="0"/>
          <w:numId w:val="2"/>
        </w:numPr>
        <w:spacing w:after="30" w:line="248" w:lineRule="auto"/>
      </w:pPr>
      <w:r>
        <w:rPr>
          <w:b/>
          <w:bCs/>
          <w:sz w:val="21"/>
          <w:szCs w:val="21"/>
        </w:rPr>
        <w:t xml:space="preserve">Emerging-technology adoption: </w:t>
      </w:r>
      <w:r>
        <w:rPr>
          <w:sz w:val="21"/>
          <w:szCs w:val="21"/>
        </w:rPr>
        <w:t xml:space="preserve">Founding member of the company’s AI Trailblazers group, rolling out generative AI tooling (Vizcom.AI, image generation, research workflows) into trend research, concept ideation, and design org-wide.</w:t>
      </w:r>
    </w:p>
    <w:p>
      <w:pPr>
        <w:pStyle w:val="ListParagraph"/>
        <w:numPr>
          <w:ilvl w:val="0"/>
          <w:numId w:val="2"/>
        </w:numPr>
        <w:spacing w:after="60" w:line="248" w:lineRule="auto"/>
      </w:pPr>
      <w:r>
        <w:rPr>
          <w:b/>
          <w:bCs/>
          <w:sz w:val="21"/>
          <w:szCs w:val="21"/>
        </w:rPr>
        <w:t xml:space="preserve">Career progression: </w:t>
      </w:r>
      <w:r>
        <w:rPr>
          <w:sz w:val="21"/>
          <w:szCs w:val="21"/>
        </w:rPr>
        <w:t xml:space="preserve">Promoted through five levels at Randa — Assistant Designer to Senior Design Director.</w:t>
      </w:r>
    </w:p>
    <w:p>
      <w:pPr>
        <w:keepNext/>
        <w:pBdr>
          <w:bottom w:val="single" w:color="999999" w:sz="6" w:space="2"/>
        </w:pBdr>
        <w:spacing w:after="80" w:before="160"/>
      </w:pPr>
      <w:r>
        <w:rPr>
          <w:rFonts w:ascii="Calibri" w:cs="Calibri" w:eastAsia="Calibri" w:hAnsi="Calibri"/>
          <w:b/>
          <w:bCs/>
          <w:color w:val="000000"/>
          <w:spacing w:val="20"/>
          <w:sz w:val="22"/>
          <w:szCs w:val="22"/>
        </w:rPr>
        <w:t xml:space="preserve">CORE COMPETENCIES</w:t>
      </w:r>
    </w:p>
    <w:p>
      <w:pPr>
        <w:spacing w:after="60" w:line="252" w:lineRule="auto"/>
      </w:pPr>
      <w:r>
        <w:rPr>
          <w:sz w:val="21"/>
          <w:szCs w:val="21"/>
        </w:rPr>
        <w:t xml:space="preserve">Creative Direction  •  Brand Strategy &amp; Management  •  Concept Development  •  Trend Forecasting  •  Campaign Development &amp; Photography Direction  •  Visual Storytelling &amp; Art Direction  •  Product Design &amp; Technical Specification  •  Materials Development &amp; Innovation  •  Digital Product Creation (3D)  •  Generative AI Workflows  •  ESG Strategy &amp; Sustainability  •  Team Leadership &amp; Mentorship  •  Cross-Functional Collaboration  •  Design Operations &amp; Change Management  •  Innovation Roadmaps &amp; Stage-Gate Review  •  Budget &amp; Vendor Management  •  Global Manufacturing &amp; Sourcing  •  Licensed Brand &amp; Retail Partnerships</w:t>
      </w:r>
    </w:p>
    <w:p>
      <w:pPr>
        <w:keepNext/>
        <w:pBdr>
          <w:bottom w:val="single" w:color="999999" w:sz="6" w:space="2"/>
        </w:pBdr>
        <w:spacing w:after="80" w:before="160"/>
      </w:pPr>
      <w:r>
        <w:rPr>
          <w:rFonts w:ascii="Calibri" w:cs="Calibri" w:eastAsia="Calibri" w:hAnsi="Calibri"/>
          <w:b/>
          <w:bCs/>
          <w:color w:val="000000"/>
          <w:spacing w:val="20"/>
          <w:sz w:val="22"/>
          <w:szCs w:val="22"/>
        </w:rPr>
        <w:t xml:space="preserve">PROFESSIONAL EXPERIENCE</w:t>
      </w:r>
    </w:p>
    <w:p>
      <w:pPr>
        <w:keepNext/>
        <w:tabs>
          <w:tab w:val="right" w:pos="9026"/>
        </w:tabs>
        <w:spacing w:after="20" w:before="120"/>
      </w:pPr>
      <w:r>
        <w:rPr>
          <w:b/>
          <w:bCs/>
          <w:sz w:val="22"/>
          <w:szCs w:val="22"/>
        </w:rPr>
        <w:t xml:space="preserve">Senior Design Director, Men’s Leather &amp; Accessories</w:t>
      </w:r>
      <w:r>
        <w:rPr>
          <w:sz w:val="22"/>
          <w:szCs w:val="22"/>
        </w:rPr>
        <w:t xml:space="preserve">  |  Randa Apparel &amp; Accessories</w:t>
      </w:r>
      <w:r>
        <w:rPr>
          <w:b/>
          <w:bCs/>
          <w:sz w:val="21"/>
          <w:szCs w:val="21"/>
        </w:rPr>
        <w:t xml:space="preserve">	2021 – Present</w:t>
      </w:r>
    </w:p>
    <w:p>
      <w:pPr>
        <w:keepNext/>
        <w:spacing w:after="40"/>
      </w:pPr>
      <w:r>
        <w:rPr>
          <w:i/>
          <w:iCs/>
          <w:color w:val="444444"/>
          <w:sz w:val="20"/>
          <w:szCs w:val="20"/>
        </w:rPr>
        <w:t xml:space="preserve">Chicago, IL  ·  6 direct reports, 20+ cross-functional influence  ·  Portfolio: 11 licensed global brands plus private label for Target, Walmart, Macy’s, Costco, Kohl’s, and JCPenney</w:t>
      </w:r>
    </w:p>
    <w:p>
      <w:pPr>
        <w:pStyle w:val="ListParagraph"/>
        <w:numPr>
          <w:ilvl w:val="0"/>
          <w:numId w:val="2"/>
        </w:numPr>
        <w:spacing w:after="30" w:line="248" w:lineRule="auto"/>
      </w:pPr>
      <w:r>
        <w:rPr>
          <w:sz w:val="21"/>
          <w:szCs w:val="21"/>
        </w:rPr>
        <w:t xml:space="preserve">Lead design strategy, product development, and brand management across Randa’s largest product category — directing the team through the full pipeline from insight to commercialization.</w:t>
      </w:r>
    </w:p>
    <w:p>
      <w:pPr>
        <w:pStyle w:val="ListParagraph"/>
        <w:numPr>
          <w:ilvl w:val="0"/>
          <w:numId w:val="2"/>
        </w:numPr>
        <w:spacing w:after="30" w:line="248" w:lineRule="auto"/>
      </w:pPr>
      <w:r>
        <w:rPr>
          <w:sz w:val="21"/>
          <w:szCs w:val="21"/>
        </w:rPr>
        <w:t xml:space="preserve">Direct seasonal creative strategy across multiple brands — trend research, trend books, design direction, and campaign photography — building cohesive visual narratives from concept to customer; creative direction contributed to a +14% lift in average unit retail.</w:t>
      </w:r>
    </w:p>
    <w:p>
      <w:pPr>
        <w:pStyle w:val="ListParagraph"/>
        <w:numPr>
          <w:ilvl w:val="0"/>
          <w:numId w:val="2"/>
        </w:numPr>
        <w:spacing w:after="30" w:line="248" w:lineRule="auto"/>
      </w:pPr>
      <w:r>
        <w:rPr>
          <w:sz w:val="21"/>
          <w:szCs w:val="21"/>
        </w:rPr>
        <w:t xml:space="preserve">Serve as Product Group Lead on the corporate ESG Committee, embedding low-impact materials, circularity, and responsible sourcing into early-stage concept development for every product director.</w:t>
      </w:r>
    </w:p>
    <w:p>
      <w:pPr>
        <w:pStyle w:val="ListParagraph"/>
        <w:numPr>
          <w:ilvl w:val="0"/>
          <w:numId w:val="2"/>
        </w:numPr>
        <w:spacing w:after="30" w:line="248" w:lineRule="auto"/>
      </w:pPr>
      <w:r>
        <w:rPr>
          <w:sz w:val="21"/>
          <w:szCs w:val="21"/>
        </w:rPr>
        <w:t xml:space="preserve">Champion enterprise digital product creation: built and lead the international CLO 3D design team, delivering 66% fewer physical samples, 35% faster speed-to-market, and 75% of product approvals moved to digital.</w:t>
      </w:r>
    </w:p>
    <w:p>
      <w:pPr>
        <w:pStyle w:val="ListParagraph"/>
        <w:numPr>
          <w:ilvl w:val="0"/>
          <w:numId w:val="2"/>
        </w:numPr>
        <w:spacing w:after="30" w:line="248" w:lineRule="auto"/>
      </w:pPr>
      <w:r>
        <w:rPr>
          <w:sz w:val="21"/>
          <w:szCs w:val="21"/>
        </w:rPr>
        <w:t xml:space="preserve">Own the design budget (trend services, international travel, tooling); deliver creative vision and collection direction to C-suite leadership and major retail buyers including Target, Walmart, Macy’s, Kohl’s, and Costco.</w:t>
      </w:r>
    </w:p>
    <w:p>
      <w:pPr>
        <w:pStyle w:val="ListParagraph"/>
        <w:numPr>
          <w:ilvl w:val="0"/>
          <w:numId w:val="2"/>
        </w:numPr>
        <w:spacing w:after="30" w:line="248" w:lineRule="auto"/>
      </w:pPr>
      <w:r>
        <w:rPr>
          <w:sz w:val="21"/>
          <w:szCs w:val="21"/>
        </w:rPr>
        <w:t xml:space="preserve">Manage partnerships with global manufacturers and licensed-brand teams in coordination with sourcing and legal; present status, risk, and readiness at executive stage reviews.</w:t>
      </w:r>
    </w:p>
    <w:p>
      <w:pPr>
        <w:pStyle w:val="ListParagraph"/>
        <w:numPr>
          <w:ilvl w:val="0"/>
          <w:numId w:val="2"/>
        </w:numPr>
        <w:spacing w:after="30" w:line="248" w:lineRule="auto"/>
      </w:pPr>
      <w:r>
        <w:rPr>
          <w:sz w:val="21"/>
          <w:szCs w:val="21"/>
        </w:rPr>
        <w:t xml:space="preserve">Mentor designers from junior to senior levels; establish design standards, growth pathways, and a culture of creative risk-taking.</w:t>
      </w:r>
    </w:p>
    <w:p>
      <w:pPr>
        <w:keepNext/>
        <w:tabs>
          <w:tab w:val="right" w:pos="9026"/>
        </w:tabs>
        <w:spacing w:after="20" w:before="120"/>
      </w:pPr>
      <w:r>
        <w:rPr>
          <w:b/>
          <w:bCs/>
          <w:sz w:val="22"/>
          <w:szCs w:val="22"/>
        </w:rPr>
        <w:t xml:space="preserve">Design Director, Men’s Leather &amp; Accessories</w:t>
      </w:r>
      <w:r>
        <w:rPr>
          <w:sz w:val="22"/>
          <w:szCs w:val="22"/>
        </w:rPr>
        <w:t xml:space="preserve">  |  Randa Apparel &amp; Accessories</w:t>
      </w:r>
      <w:r>
        <w:rPr>
          <w:b/>
          <w:bCs/>
          <w:sz w:val="21"/>
          <w:szCs w:val="21"/>
        </w:rPr>
        <w:t xml:space="preserve">	2019 – 2021</w:t>
      </w:r>
    </w:p>
    <w:p>
      <w:pPr>
        <w:keepNext/>
        <w:spacing w:after="40"/>
      </w:pPr>
      <w:r>
        <w:rPr>
          <w:i/>
          <w:iCs/>
          <w:color w:val="444444"/>
          <w:sz w:val="20"/>
          <w:szCs w:val="20"/>
        </w:rPr>
        <w:t xml:space="preserve">Chicago, IL</w:t>
      </w:r>
    </w:p>
    <w:p>
      <w:pPr>
        <w:pStyle w:val="ListParagraph"/>
        <w:numPr>
          <w:ilvl w:val="0"/>
          <w:numId w:val="2"/>
        </w:numPr>
        <w:spacing w:after="30" w:line="248" w:lineRule="auto"/>
      </w:pPr>
      <w:r>
        <w:rPr>
          <w:sz w:val="21"/>
          <w:szCs w:val="21"/>
        </w:rPr>
        <w:t xml:space="preserve">Elevated product design strategy for men’s leather goods and accessories across licensed lines and retail channels, driving brand alignment and commercial consistency.</w:t>
      </w:r>
    </w:p>
    <w:p>
      <w:pPr>
        <w:pStyle w:val="ListParagraph"/>
        <w:numPr>
          <w:ilvl w:val="0"/>
          <w:numId w:val="2"/>
        </w:numPr>
        <w:spacing w:after="30" w:line="248" w:lineRule="auto"/>
      </w:pPr>
      <w:r>
        <w:rPr>
          <w:sz w:val="21"/>
          <w:szCs w:val="21"/>
        </w:rPr>
        <w:t xml:space="preserve">Strengthened alignment between design, merchandising, and sales — tightening the loop between creative direction and commercialization to reduce costly late-stage revisions.</w:t>
      </w:r>
    </w:p>
    <w:p>
      <w:pPr>
        <w:keepNext/>
        <w:tabs>
          <w:tab w:val="right" w:pos="9026"/>
        </w:tabs>
        <w:spacing w:after="20" w:before="120"/>
      </w:pPr>
      <w:r>
        <w:rPr>
          <w:b/>
          <w:bCs/>
          <w:sz w:val="22"/>
          <w:szCs w:val="22"/>
        </w:rPr>
        <w:t xml:space="preserve">Senior Designer</w:t>
      </w:r>
      <w:r>
        <w:rPr>
          <w:sz w:val="22"/>
          <w:szCs w:val="22"/>
        </w:rPr>
        <w:t xml:space="preserve">  |  Randa Apparel &amp; Accessories</w:t>
      </w:r>
      <w:r>
        <w:rPr>
          <w:b/>
          <w:bCs/>
          <w:sz w:val="21"/>
          <w:szCs w:val="21"/>
        </w:rPr>
        <w:t xml:space="preserve">	2016 – 2019</w:t>
      </w:r>
    </w:p>
    <w:p>
      <w:pPr>
        <w:keepNext/>
        <w:spacing w:after="40"/>
      </w:pPr>
      <w:r>
        <w:rPr>
          <w:i/>
          <w:iCs/>
          <w:color w:val="444444"/>
          <w:sz w:val="20"/>
          <w:szCs w:val="20"/>
        </w:rPr>
        <w:t xml:space="preserve">Chicago, IL</w:t>
      </w:r>
    </w:p>
    <w:p>
      <w:pPr>
        <w:pStyle w:val="ListParagraph"/>
        <w:numPr>
          <w:ilvl w:val="0"/>
          <w:numId w:val="2"/>
        </w:numPr>
        <w:spacing w:after="30" w:line="248" w:lineRule="auto"/>
      </w:pPr>
      <w:r>
        <w:rPr>
          <w:sz w:val="21"/>
          <w:szCs w:val="21"/>
        </w:rPr>
        <w:t xml:space="preserve">Conceived, named, and co-led Damen + Hastings — Randa’s first owned brand — from concept to a national launch at Kohl’s, including a Made-in-USA collaboration with Pintrill.</w:t>
      </w:r>
    </w:p>
    <w:p>
      <w:pPr>
        <w:pStyle w:val="ListParagraph"/>
        <w:numPr>
          <w:ilvl w:val="0"/>
          <w:numId w:val="2"/>
        </w:numPr>
        <w:spacing w:after="30" w:line="248" w:lineRule="auto"/>
      </w:pPr>
      <w:r>
        <w:rPr>
          <w:sz w:val="21"/>
          <w:szCs w:val="21"/>
        </w:rPr>
        <w:t xml:space="preserve">Pioneered Randa’s earliest leather sustainability initiatives, evaluating responsible material alternatives before formal ESG programs existed.</w:t>
      </w:r>
    </w:p>
    <w:p>
      <w:pPr>
        <w:keepNext/>
        <w:tabs>
          <w:tab w:val="right" w:pos="9026"/>
        </w:tabs>
        <w:spacing w:after="20" w:before="120"/>
      </w:pPr>
      <w:r>
        <w:rPr>
          <w:b/>
          <w:bCs/>
          <w:sz w:val="22"/>
          <w:szCs w:val="22"/>
        </w:rPr>
        <w:t xml:space="preserve">Designer</w:t>
      </w:r>
      <w:r>
        <w:rPr>
          <w:sz w:val="22"/>
          <w:szCs w:val="22"/>
        </w:rPr>
        <w:t xml:space="preserve">  |  Randa Apparel &amp; Accessories</w:t>
      </w:r>
      <w:r>
        <w:rPr>
          <w:b/>
          <w:bCs/>
          <w:sz w:val="21"/>
          <w:szCs w:val="21"/>
        </w:rPr>
        <w:t xml:space="preserve">	2014 – 2016</w:t>
      </w:r>
    </w:p>
    <w:p>
      <w:pPr>
        <w:keepNext/>
        <w:spacing w:after="40"/>
      </w:pPr>
      <w:r>
        <w:rPr>
          <w:i/>
          <w:iCs/>
          <w:color w:val="444444"/>
          <w:sz w:val="20"/>
          <w:szCs w:val="20"/>
        </w:rPr>
        <w:t xml:space="preserve">Chicago, IL</w:t>
      </w:r>
    </w:p>
    <w:p>
      <w:pPr>
        <w:pStyle w:val="ListParagraph"/>
        <w:numPr>
          <w:ilvl w:val="0"/>
          <w:numId w:val="2"/>
        </w:numPr>
        <w:spacing w:after="30" w:line="248" w:lineRule="auto"/>
      </w:pPr>
      <w:r>
        <w:rPr>
          <w:sz w:val="21"/>
          <w:szCs w:val="21"/>
        </w:rPr>
        <w:t xml:space="preserve">Owned the full design process from concept ideation and material selection through factory handoff and production approval; built deep working knowledge of global manufacturing and construction standards.</w:t>
      </w:r>
    </w:p>
    <w:p>
      <w:pPr>
        <w:keepNext/>
        <w:tabs>
          <w:tab w:val="right" w:pos="9026"/>
        </w:tabs>
        <w:spacing w:after="20" w:before="120"/>
      </w:pPr>
      <w:r>
        <w:rPr>
          <w:b/>
          <w:bCs/>
          <w:sz w:val="22"/>
          <w:szCs w:val="22"/>
        </w:rPr>
        <w:t xml:space="preserve">Assistant Designer</w:t>
      </w:r>
      <w:r>
        <w:rPr>
          <w:sz w:val="22"/>
          <w:szCs w:val="22"/>
        </w:rPr>
        <w:t xml:space="preserve">  |  Randa Apparel &amp; Accessories</w:t>
      </w:r>
      <w:r>
        <w:rPr>
          <w:b/>
          <w:bCs/>
          <w:sz w:val="21"/>
          <w:szCs w:val="21"/>
        </w:rPr>
        <w:t xml:space="preserve">	2010 – 2014</w:t>
      </w:r>
    </w:p>
    <w:p>
      <w:pPr>
        <w:keepNext/>
        <w:spacing w:after="40"/>
      </w:pPr>
      <w:r>
        <w:rPr>
          <w:i/>
          <w:iCs/>
          <w:color w:val="444444"/>
          <w:sz w:val="20"/>
          <w:szCs w:val="20"/>
        </w:rPr>
        <w:t xml:space="preserve">Chicago, IL</w:t>
      </w:r>
    </w:p>
    <w:p>
      <w:pPr>
        <w:pStyle w:val="ListParagraph"/>
        <w:numPr>
          <w:ilvl w:val="0"/>
          <w:numId w:val="2"/>
        </w:numPr>
        <w:spacing w:after="30" w:line="248" w:lineRule="auto"/>
      </w:pPr>
      <w:r>
        <w:rPr>
          <w:sz w:val="21"/>
          <w:szCs w:val="21"/>
        </w:rPr>
        <w:t xml:space="preserve">Supported senior design teams across multiple licensed brand programs — product construction, material sourcing, trend research, and cross-functional work with vendors and sales.</w:t>
      </w:r>
    </w:p>
    <w:p>
      <w:pPr>
        <w:keepNext/>
        <w:tabs>
          <w:tab w:val="right" w:pos="9026"/>
        </w:tabs>
        <w:spacing w:after="20" w:before="120"/>
      </w:pPr>
      <w:r>
        <w:rPr>
          <w:b/>
          <w:bCs/>
          <w:sz w:val="22"/>
          <w:szCs w:val="22"/>
        </w:rPr>
        <w:t xml:space="preserve">Assistant Designer, Accessories &amp; Leather Goods</w:t>
      </w:r>
      <w:r>
        <w:rPr>
          <w:sz w:val="22"/>
          <w:szCs w:val="22"/>
        </w:rPr>
        <w:t xml:space="preserve">  |  Fossil Group, Inc.</w:t>
      </w:r>
      <w:r>
        <w:rPr>
          <w:b/>
          <w:bCs/>
          <w:sz w:val="21"/>
          <w:szCs w:val="21"/>
        </w:rPr>
        <w:t xml:space="preserve">	2008 – 2010</w:t>
      </w:r>
    </w:p>
    <w:p>
      <w:pPr>
        <w:keepNext/>
        <w:spacing w:after="40"/>
      </w:pPr>
      <w:r>
        <w:rPr>
          <w:i/>
          <w:iCs/>
          <w:color w:val="444444"/>
          <w:sz w:val="20"/>
          <w:szCs w:val="20"/>
        </w:rPr>
        <w:t xml:space="preserve">Dallas, TX</w:t>
      </w:r>
    </w:p>
    <w:p>
      <w:pPr>
        <w:pStyle w:val="ListParagraph"/>
        <w:numPr>
          <w:ilvl w:val="0"/>
          <w:numId w:val="2"/>
        </w:numPr>
        <w:spacing w:after="60" w:line="248" w:lineRule="auto"/>
      </w:pPr>
      <w:r>
        <w:rPr>
          <w:sz w:val="21"/>
          <w:szCs w:val="21"/>
        </w:rPr>
        <w:t xml:space="preserve">Designed accessories collections across multiple licensed brand identities for a global fashion company sold in 150+ countries — technical packages, CAD drawings, hardware specifications, and daily coordination with overseas manufacturing partners.</w:t>
      </w:r>
    </w:p>
    <w:p>
      <w:pPr>
        <w:keepNext/>
        <w:pBdr>
          <w:bottom w:val="single" w:color="999999" w:sz="6" w:space="2"/>
        </w:pBdr>
        <w:spacing w:after="80" w:before="160"/>
      </w:pPr>
      <w:r>
        <w:rPr>
          <w:rFonts w:ascii="Calibri" w:cs="Calibri" w:eastAsia="Calibri" w:hAnsi="Calibri"/>
          <w:b/>
          <w:bCs/>
          <w:color w:val="000000"/>
          <w:spacing w:val="20"/>
          <w:sz w:val="22"/>
          <w:szCs w:val="22"/>
        </w:rPr>
        <w:t xml:space="preserve">EDUCATION</w:t>
      </w:r>
    </w:p>
    <w:p>
      <w:pPr>
        <w:tabs>
          <w:tab w:val="right" w:pos="9026"/>
        </w:tabs>
        <w:spacing w:after="30"/>
      </w:pPr>
      <w:r>
        <w:rPr>
          <w:b/>
          <w:bCs/>
          <w:sz w:val="21"/>
          <w:szCs w:val="21"/>
        </w:rPr>
        <w:t xml:space="preserve">Bachelor of Science, Industrial Design</w:t>
      </w:r>
      <w:r>
        <w:rPr>
          <w:sz w:val="21"/>
          <w:szCs w:val="21"/>
        </w:rPr>
        <w:t xml:space="preserve"> — The Art Institute of California, Orange County</w:t>
      </w:r>
      <w:r>
        <w:rPr>
          <w:sz w:val="21"/>
          <w:szCs w:val="21"/>
        </w:rPr>
        <w:t xml:space="preserve">	2008</w:t>
      </w:r>
    </w:p>
    <w:p>
      <w:pPr>
        <w:tabs>
          <w:tab w:val="right" w:pos="9026"/>
        </w:tabs>
        <w:spacing w:after="30"/>
      </w:pPr>
      <w:r>
        <w:rPr>
          <w:b/>
          <w:bCs/>
          <w:sz w:val="21"/>
          <w:szCs w:val="21"/>
        </w:rPr>
        <w:t xml:space="preserve">Executive Development, Leadership</w:t>
      </w:r>
      <w:r>
        <w:rPr>
          <w:sz w:val="21"/>
          <w:szCs w:val="21"/>
        </w:rPr>
        <w:t xml:space="preserve"> — American Management Association</w:t>
      </w:r>
      <w:r>
        <w:rPr>
          <w:sz w:val="21"/>
          <w:szCs w:val="21"/>
        </w:rPr>
        <w:t xml:space="preserve">	2023</w:t>
      </w:r>
    </w:p>
    <w:p>
      <w:pPr>
        <w:spacing w:after="60"/>
      </w:pPr>
      <w:r>
        <w:rPr>
          <w:b/>
          <w:bCs/>
          <w:sz w:val="21"/>
          <w:szCs w:val="21"/>
        </w:rPr>
        <w:t xml:space="preserve">Foundational Coursework, Art &amp; Industrial Design</w:t>
      </w:r>
      <w:r>
        <w:rPr>
          <w:sz w:val="21"/>
          <w:szCs w:val="21"/>
        </w:rPr>
        <w:t xml:space="preserve"> — University of Kansas, School of Fine Arts (2 years)</w:t>
      </w:r>
    </w:p>
    <w:p>
      <w:pPr>
        <w:keepNext/>
        <w:pBdr>
          <w:bottom w:val="single" w:color="999999" w:sz="6" w:space="2"/>
        </w:pBdr>
        <w:spacing w:after="80" w:before="160"/>
      </w:pPr>
      <w:r>
        <w:rPr>
          <w:rFonts w:ascii="Calibri" w:cs="Calibri" w:eastAsia="Calibri" w:hAnsi="Calibri"/>
          <w:b/>
          <w:bCs/>
          <w:color w:val="000000"/>
          <w:spacing w:val="20"/>
          <w:sz w:val="22"/>
          <w:szCs w:val="22"/>
        </w:rPr>
        <w:t xml:space="preserve">TOOLS &amp; TECHNOLOGY</w:t>
      </w:r>
    </w:p>
    <w:p>
      <w:pPr>
        <w:spacing w:after="0" w:line="252" w:lineRule="auto"/>
      </w:pPr>
      <w:r>
        <w:rPr>
          <w:b/>
          <w:bCs/>
          <w:sz w:val="21"/>
          <w:szCs w:val="21"/>
        </w:rPr>
        <w:t xml:space="preserve">3D &amp; Digital: </w:t>
      </w:r>
      <w:r>
        <w:rPr>
          <w:sz w:val="21"/>
          <w:szCs w:val="21"/>
        </w:rPr>
        <w:t xml:space="preserve">CLO 3D (department champion), Vizcom.AI, generative AI workflows (ChatGPT, Claude)  ·  </w:t>
      </w:r>
      <w:r>
        <w:rPr>
          <w:b/>
          <w:bCs/>
          <w:sz w:val="21"/>
          <w:szCs w:val="21"/>
        </w:rPr>
        <w:t xml:space="preserve">Design: </w:t>
      </w:r>
      <w:r>
        <w:rPr>
          <w:sz w:val="21"/>
          <w:szCs w:val="21"/>
        </w:rPr>
        <w:t xml:space="preserve">Adobe Creative Suite (Illustrator, Photoshop, InDesign), Gerber Yunique PLM  ·  </w:t>
      </w:r>
      <w:r>
        <w:rPr>
          <w:b/>
          <w:bCs/>
          <w:sz w:val="21"/>
          <w:szCs w:val="21"/>
        </w:rPr>
        <w:t xml:space="preserve">Domain: </w:t>
      </w:r>
      <w:r>
        <w:rPr>
          <w:sz w:val="21"/>
          <w:szCs w:val="21"/>
        </w:rPr>
        <w:t xml:space="preserve">Industrial design, technical packages &amp; BOMs, materials development, counter-sample &amp; fit approvals, global manufacturing &amp; construction standards</w:t>
      </w:r>
    </w:p>
    <w:sectPr>
      <w:pgSz w:w="12240" w:h="15840" w:orient="portrait"/>
      <w:pgMar w:top="940" w:right="1080" w:bottom="9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7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2026-06-10T02:06:42.492Z</dcterms:created>
  <dcterms:modified xsi:type="dcterms:W3CDTF">2026-06-10T02:06:42.492Z</dcterms:modified>
</cp:coreProperties>
</file>

<file path=docProps/custom.xml><?xml version="1.0" encoding="utf-8"?>
<Properties xmlns="http://schemas.openxmlformats.org/officeDocument/2006/custom-properties" xmlns:vt="http://schemas.openxmlformats.org/officeDocument/2006/docPropsVTypes"/>
</file>