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Fonts w:ascii="Times New Roman" w:cs="Times New Roman" w:eastAsia="Times New Roman" w:hAnsi="Times New Roman"/>
                <w:rtl w:val="0"/>
              </w:rPr>
              <w:t xml:space="preserve">Meets expectations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Fonts w:ascii="Times New Roman" w:cs="Times New Roman" w:eastAsia="Times New Roman" w:hAnsi="Times New Roman"/>
                <w:rtl w:val="0"/>
              </w:rPr>
              <w:t xml:space="preserve">Data understanding, preparation and EDA(30%)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quality checks are performed, and all data quality issues are addressed in the right way (missing value imputation, removing duplicate data and other kinds of data redundancies, etc.). Explanations for data quality issues are clearly mentioned in comments or in the presentation.</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Dummy variables are created properly wherever applicable.</w:t>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metrics are derived if applicable and are used for analysis and modeling.</w:t>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widowControl w:val="0"/>
              <w:shd w:fill="f4f5f7" w:val="clear"/>
              <w:spacing w:line="240" w:lineRule="auto"/>
              <w:rPr/>
            </w:pPr>
            <w:r w:rsidDel="00000000" w:rsidR="00000000" w:rsidRPr="00000000">
              <w:rPr>
                <w:rFonts w:ascii="Times New Roman" w:cs="Times New Roman" w:eastAsia="Times New Roman" w:hAnsi="Times New Roman"/>
                <w:rtl w:val="0"/>
              </w:rPr>
              <w:t xml:space="preserve">The data is converted to a clean format suitable for analysis in Python.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Fonts w:ascii="Times New Roman" w:cs="Times New Roman" w:eastAsia="Times New Roman" w:hAnsi="Times New Roman"/>
                <w:rtl w:val="0"/>
              </w:rPr>
              <w:t xml:space="preserve">Model building and evaluation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parameters are tuned using correct principles and the approach is explained clearly. Both technical and business aspects are considered while building the model.</w:t>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variable selection techniques are used. A reasonable number of different models are attempted and the best one is chosen based on key performance metrics.</w:t>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 is done using the correct principles and appropriate evaluation metrics are chosen.</w:t>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are at par with the best possible model on the dataset.</w:t>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interpreted and explained correctly. The commented code includes a brief explanation of the important variables and the model in simple terms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Fonts w:ascii="Times New Roman" w:cs="Times New Roman" w:eastAsia="Times New Roman" w:hAnsi="Times New Roman"/>
                <w:rtl w:val="0"/>
              </w:rPr>
              <w:t xml:space="preserve">Subjective Questions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to the subjective questions is clear, concise and to the point.</w:t>
            </w:r>
          </w:p>
          <w:p w:rsidR="00000000" w:rsidDel="00000000" w:rsidP="00000000" w:rsidRDefault="00000000" w:rsidRPr="00000000" w14:paraId="00000019">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assumptions are made and the reasons behind the answers are explained clearly.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and Recommendations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presentation has a clear structure, is not too long, and explains the most important results concisely in simple language.</w:t>
            </w:r>
          </w:p>
          <w:p w:rsidR="00000000" w:rsidDel="00000000" w:rsidP="00000000" w:rsidRDefault="00000000" w:rsidRPr="00000000" w14:paraId="0000001E">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recommendations to solve the problems are realistic, actionable and coherent with the analysis.</w:t>
            </w:r>
          </w:p>
          <w:p w:rsidR="00000000" w:rsidDel="00000000" w:rsidP="00000000" w:rsidRDefault="00000000" w:rsidRPr="00000000" w14:paraId="00000020">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assumptions are made, they are stated clearly</w:t>
            </w:r>
          </w:p>
          <w:p w:rsidR="00000000" w:rsidDel="00000000" w:rsidP="00000000" w:rsidRDefault="00000000" w:rsidRPr="00000000" w14:paraId="00000022">
            <w:pPr>
              <w:widowControl w:val="0"/>
              <w:shd w:fill="f4f5f7" w:val="clea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Report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followed and all the learnings are clearly mentioned.</w:t>
            </w:r>
          </w:p>
          <w:p w:rsidR="00000000" w:rsidDel="00000000" w:rsidP="00000000" w:rsidRDefault="00000000" w:rsidRPr="00000000" w14:paraId="00000025">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is neither too detailed nor too brief. The 500-word word limit is followed.</w:t>
            </w:r>
          </w:p>
          <w:p w:rsidR="00000000" w:rsidDel="00000000" w:rsidP="00000000" w:rsidRDefault="00000000" w:rsidRPr="00000000" w14:paraId="00000027">
            <w:pPr>
              <w:widowControl w:val="0"/>
              <w:shd w:fill="f4f5f7" w:val="clea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Conciseness and readability of the code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concise and syntactically correct. Wherever appropriate, built-in functions and standard libraries are used instead of writing long code (if-else statements, for loops, etc.).</w:t>
            </w:r>
          </w:p>
          <w:p w:rsidR="00000000" w:rsidDel="00000000" w:rsidP="00000000" w:rsidRDefault="00000000" w:rsidRPr="00000000" w14:paraId="0000002A">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functions are used to perform repetitive tasks.</w:t>
            </w:r>
          </w:p>
          <w:p w:rsidR="00000000" w:rsidDel="00000000" w:rsidP="00000000" w:rsidRDefault="00000000" w:rsidRPr="00000000" w14:paraId="0000002C">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widowControl w:val="0"/>
              <w:shd w:fill="f4f5f7"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readable with appropriately named variables and detailed comments are written wherever necessary.</w:t>
            </w:r>
          </w:p>
          <w:p w:rsidR="00000000" w:rsidDel="00000000" w:rsidP="00000000" w:rsidRDefault="00000000" w:rsidRPr="00000000" w14:paraId="0000002E">
            <w:pPr>
              <w:widowControl w:val="0"/>
              <w:shd w:fill="f4f5f7" w:val="clea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F">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