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8"/>
          <w:szCs w:val="38"/>
        </w:rPr>
        <w:t xml:space="preserve">Customer &amp; Sales Analytics: Manager Summary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Sample Superstore data, 2014-2017  |  9,994 order lines  |  793 customers  |  Prepared by Vaishnavi B. Gawande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0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4E79"/>
                <w:sz w:val="24"/>
                <w:szCs w:val="24"/>
              </w:rPr>
              <w:t xml:space="preserve">Sales grew 51% in four years, but discounts above 20% lose money, and a fifth of revenue sits with customers who are drifting away.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Three key findings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6296"/>
      </w:tblGrid>
      <w:tr>
        <w:trPr>
          <w:tblHeader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Sales are growing and strongly seasonal.</w:t>
            </w:r>
          </w:p>
        </w:tc>
        <w:tc>
          <w:tcPr>
            <w:tcW w:type="dxa" w:w="6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Yearly sales rose from $484K (2014) to $733K (2017), up 20% in 2017 alone.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September, November and December are the strongest months every year; Q4 brings in about 38% of all sales.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Customers are loyal, but 22% of sales sit with customers who have gone quiet.</w:t>
            </w:r>
          </w:p>
        </w:tc>
        <w:tc>
          <w:tcPr>
            <w:tcW w:type="dxa" w:w="6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98.5% of customers order again, about every 6 months (188 days on average).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Champions and Loyal customers (329 people) bring 53% of sales. The 146 At Risk customers hold $495K (22%) and have not ordered for about 7 months.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11 customers were new in 2017, so growth comes mostly from existing customers.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Deep discounts destroy profit.</w:t>
            </w:r>
          </w:p>
        </w:tc>
        <w:tc>
          <w:tcPr>
            <w:tcW w:type="dxa" w:w="6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Order lines discounted above 20% lost $135K in total, while undiscounted lines earned $321K.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Central discounts the most (24% average) and has the lowest margin (7.9%, against 14.9% in West). Tables lose $17.7K overall.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Three recommendations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00"/>
        <w:gridCol w:w="6296"/>
      </w:tblGrid>
      <w:tr>
        <w:trPr>
          <w:tblHeader/>
        </w:trP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6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and how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Cap discounts at 20% and require approval above it.</w:t>
            </w:r>
          </w:p>
        </w:tc>
        <w:tc>
          <w:tcPr>
            <w:tcW w:type="dxa" w:w="6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 with Tables and the Central region. This follows finding 3. The profit this would recover depends on how customers respond, so it is not estimated here.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 back At Risk customers now, and follow up new ones within 60 days.</w:t>
            </w:r>
          </w:p>
        </w:tc>
        <w:tc>
          <w:tcPr>
            <w:tcW w:type="dxa" w:w="6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Send a win-back offer to the 146 At Risk customers (average 7.5 orders and $3,392 spend each) before they become Lost; 167 customers already are. Customers are least likely to return in month 2 (6.6%), so a follow-up offer in the first 60 days is the best chance to speed up the second order.</w:t>
            </w:r>
          </w:p>
        </w:tc>
      </w:tr>
      <w:tr>
        <w:tc>
          <w:tcPr>
            <w:tcW w:type="dxa" w:w="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 stock and staff around September to December, and plan with a forecast range.</w:t>
            </w:r>
          </w:p>
        </w:tc>
        <w:tc>
          <w:tcPr>
            <w:tcW w:type="dxa" w:w="6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 2018 sales are forecast at about $148K, likely between $89K and $207K. Past forecasts were off by about 26% on average, so use the range, not a single number.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Caveats: sample data, not live company data. Discounts and losses occur together; this shows correlation, not proven cause. The forecast uses same month last year times 1.20 growth. 75% of customers first ordered in 2014, so trends for new customers rest on few people (11 in 2017).</w:t>
      </w:r>
    </w:p>
    <w:sectPr>
      <w:pgSz w:w="11906" w:h="16838" w:orient="portrait"/>
      <w:pgMar w:top="90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2026-10-14T10:42:22.987Z</dcterms:created>
  <dcterms:modified xsi:type="dcterms:W3CDTF">2026-10-14T10:42:22.996Z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