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3FA0D" w14:textId="77777777" w:rsidR="00EA754D" w:rsidRDefault="0051341F">
      <w:pPr>
        <w:spacing w:after="60"/>
      </w:pPr>
      <w:r>
        <w:rPr>
          <w:b/>
          <w:bCs/>
          <w:color w:val="1F4E79"/>
          <w:sz w:val="40"/>
          <w:szCs w:val="40"/>
        </w:rPr>
        <w:t>Customer &amp; Sales Analytics: Findings and Method</w:t>
      </w:r>
    </w:p>
    <w:p w14:paraId="072CB21F" w14:textId="77777777" w:rsidR="00EA754D" w:rsidRDefault="0051341F">
      <w:pPr>
        <w:spacing w:after="160"/>
      </w:pPr>
      <w:r>
        <w:rPr>
          <w:color w:val="555555"/>
          <w:sz w:val="19"/>
          <w:szCs w:val="19"/>
        </w:rPr>
        <w:t xml:space="preserve">Project SG/PRJ/DA-02 </w:t>
      </w:r>
      <w:r w:rsidR="00BF755D">
        <w:rPr>
          <w:color w:val="555555"/>
          <w:sz w:val="19"/>
          <w:szCs w:val="19"/>
        </w:rPr>
        <w:t>| Vaishnavi</w:t>
      </w:r>
      <w:r>
        <w:rPr>
          <w:color w:val="555555"/>
          <w:sz w:val="19"/>
          <w:szCs w:val="19"/>
        </w:rPr>
        <w:t xml:space="preserve"> B. </w:t>
      </w:r>
      <w:r w:rsidR="00BF755D">
        <w:rPr>
          <w:color w:val="555555"/>
          <w:sz w:val="19"/>
          <w:szCs w:val="19"/>
        </w:rPr>
        <w:t>Gawande |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Sample Superstore data, 2014-2017</w:t>
      </w:r>
    </w:p>
    <w:p w14:paraId="58BA0A3B" w14:textId="77777777" w:rsidR="00EA754D" w:rsidRDefault="0051341F">
      <w:pPr>
        <w:pStyle w:val="Heading1"/>
      </w:pPr>
      <w:r>
        <w:t>1. Summary</w:t>
      </w:r>
    </w:p>
    <w:p w14:paraId="74275166" w14:textId="77777777" w:rsidR="00EA754D" w:rsidRDefault="0051341F">
      <w:pPr>
        <w:spacing w:after="100"/>
      </w:pPr>
      <w:r>
        <w:rPr>
          <w:color w:val="000000"/>
        </w:rPr>
        <w:t>Sales grew 51% in four years, but discounts above 20% lose money, and a fifth of revenue sits with customers who are drifting away. This report explains how I reached three findings and three recommendations using a star-schema database, SQL, RFM segments,</w:t>
      </w:r>
      <w:r>
        <w:rPr>
          <w:color w:val="000000"/>
        </w:rPr>
        <w:t xml:space="preserve"> cohort analysis, a forecast and a Power BI report.</w:t>
      </w:r>
    </w:p>
    <w:p w14:paraId="236A9956" w14:textId="77777777" w:rsidR="00EA754D" w:rsidRDefault="0051341F">
      <w:pPr>
        <w:pStyle w:val="Heading2"/>
      </w:pPr>
      <w:r>
        <w:t>Key findings</w:t>
      </w:r>
    </w:p>
    <w:p w14:paraId="4B8945A5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Sales are growing and strongly seasonal: $484K in 2014 to $733K in 2017 (up 20% in 2017). September, November and December are the strongest months every year, and Q4 brings in about 38% of s</w:t>
      </w:r>
      <w:r>
        <w:rPr>
          <w:color w:val="000000"/>
        </w:rPr>
        <w:t>ales.</w:t>
      </w:r>
    </w:p>
    <w:p w14:paraId="6C4196C4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Customers are loyal, but 22% of sales sit with customers who have gone quiet. 98.5% of customers reorder, about every 188 days. Champions and Loyal customers (329 people) bring 53% of sales; the 146 At Risk customers hold $495K and have not ordered f</w:t>
      </w:r>
      <w:r>
        <w:rPr>
          <w:color w:val="000000"/>
        </w:rPr>
        <w:t>or about 7 months. Only 11 customers were new in 2017.</w:t>
      </w:r>
    </w:p>
    <w:p w14:paraId="2B41D683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Deep discounts destroy profit: order lines discounted above 20% lost $135K while undiscounted lines earned $321K. Central discounts the most (24% average) and has the lowest margin (7.9%, against 14.9%</w:t>
      </w:r>
      <w:r>
        <w:rPr>
          <w:color w:val="000000"/>
        </w:rPr>
        <w:t xml:space="preserve"> in West).</w:t>
      </w:r>
    </w:p>
    <w:p w14:paraId="17CF3C6E" w14:textId="77777777" w:rsidR="00EA754D" w:rsidRDefault="0051341F">
      <w:pPr>
        <w:pStyle w:val="Heading2"/>
      </w:pPr>
      <w:r>
        <w:t>Recommendations</w:t>
      </w:r>
    </w:p>
    <w:p w14:paraId="044DFD77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Cap discounts at 20% and require approval above it, starting with Tables and the Central region.</w:t>
      </w:r>
    </w:p>
    <w:p w14:paraId="3F0165DE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Win back the 146 At Risk customers now, and follow up new customers within 60 days.</w:t>
      </w:r>
    </w:p>
    <w:p w14:paraId="33ADD2DC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Plan stock and staff around September to Decembe</w:t>
      </w:r>
      <w:r>
        <w:rPr>
          <w:color w:val="000000"/>
        </w:rPr>
        <w:t>r, and plan with a forecast range: Q1 2018 sales about $148K, likely between $89K and $207K.</w:t>
      </w:r>
    </w:p>
    <w:p w14:paraId="2E7F1A44" w14:textId="77777777" w:rsidR="00EA754D" w:rsidRDefault="0051341F">
      <w:pPr>
        <w:pStyle w:val="Heading1"/>
      </w:pPr>
      <w:r>
        <w:t>2. Data and model</w:t>
      </w:r>
    </w:p>
    <w:p w14:paraId="5D1F5C19" w14:textId="77777777" w:rsidR="00EA754D" w:rsidRDefault="0051341F">
      <w:pPr>
        <w:spacing w:after="100"/>
      </w:pPr>
      <w:r>
        <w:rPr>
          <w:color w:val="000000"/>
        </w:rPr>
        <w:t>The data is the Sample Superstore dataset: 9,994 order lines, 5,009 orders and 793 customers. I reshaped the flat file into a star schema, with o</w:t>
      </w:r>
      <w:r>
        <w:rPr>
          <w:color w:val="000000"/>
        </w:rPr>
        <w:t>ne fact table and four dimensions. I chose this dataset because customers buy repeatedly (781 of 793 reorder), which RFM and cohort analysis need.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1300"/>
        <w:gridCol w:w="2646"/>
      </w:tblGrid>
      <w:tr w:rsidR="00EA754D" w14:paraId="2F7B2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0A2B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DA5A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One row per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9A84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A266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EA754D" w14:paraId="7A149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1F04" w14:textId="77777777" w:rsidR="00EA754D" w:rsidRDefault="0051341F">
            <w:r>
              <w:rPr>
                <w:color w:val="000000"/>
                <w:sz w:val="19"/>
                <w:szCs w:val="19"/>
              </w:rPr>
              <w:t>fact_sales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ADFA" w14:textId="77777777" w:rsidR="00EA754D" w:rsidRDefault="0051341F">
            <w:r>
              <w:rPr>
                <w:color w:val="000000"/>
                <w:sz w:val="19"/>
                <w:szCs w:val="19"/>
              </w:rPr>
              <w:t>order line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1B45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9,994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22E5" w14:textId="77777777" w:rsidR="00EA754D" w:rsidRDefault="0051341F">
            <w:r>
              <w:rPr>
                <w:color w:val="000000"/>
                <w:sz w:val="19"/>
                <w:szCs w:val="19"/>
              </w:rPr>
              <w:t>Row</w:t>
            </w:r>
            <w:r>
              <w:rPr>
                <w:color w:val="000000"/>
                <w:sz w:val="19"/>
                <w:szCs w:val="19"/>
              </w:rPr>
              <w:t>_ID</w:t>
            </w:r>
          </w:p>
        </w:tc>
      </w:tr>
      <w:tr w:rsidR="00EA754D" w14:paraId="34EB1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ECF9" w14:textId="77777777" w:rsidR="00EA754D" w:rsidRDefault="0051341F">
            <w:r>
              <w:rPr>
                <w:color w:val="000000"/>
                <w:sz w:val="19"/>
                <w:szCs w:val="19"/>
              </w:rPr>
              <w:t>dim_customer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C9D4" w14:textId="77777777" w:rsidR="00EA754D" w:rsidRDefault="0051341F">
            <w:r>
              <w:rPr>
                <w:color w:val="000000"/>
                <w:sz w:val="19"/>
                <w:szCs w:val="19"/>
              </w:rPr>
              <w:t>customer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746D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793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4C19" w14:textId="77777777" w:rsidR="00EA754D" w:rsidRDefault="0051341F">
            <w:r>
              <w:rPr>
                <w:color w:val="000000"/>
                <w:sz w:val="19"/>
                <w:szCs w:val="19"/>
              </w:rPr>
              <w:t>customer_</w:t>
            </w:r>
            <w:r>
              <w:rPr>
                <w:color w:val="000000"/>
                <w:sz w:val="19"/>
                <w:szCs w:val="19"/>
              </w:rPr>
              <w:t>key</w:t>
            </w:r>
          </w:p>
        </w:tc>
      </w:tr>
      <w:tr w:rsidR="00EA754D" w14:paraId="78335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02BD" w14:textId="77777777" w:rsidR="00EA754D" w:rsidRDefault="0051341F">
            <w:r>
              <w:rPr>
                <w:color w:val="000000"/>
                <w:sz w:val="19"/>
                <w:szCs w:val="19"/>
              </w:rPr>
              <w:t>dim_product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F22F" w14:textId="77777777" w:rsidR="00EA754D" w:rsidRDefault="0051341F">
            <w:r>
              <w:rPr>
                <w:color w:val="000000"/>
                <w:sz w:val="19"/>
                <w:szCs w:val="19"/>
              </w:rPr>
              <w:t>product (ID and name)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FA00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1,894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8E78" w14:textId="77777777" w:rsidR="00EA754D" w:rsidRDefault="0051341F">
            <w:r>
              <w:rPr>
                <w:color w:val="000000"/>
                <w:sz w:val="19"/>
                <w:szCs w:val="19"/>
              </w:rPr>
              <w:t>product_key</w:t>
            </w:r>
          </w:p>
        </w:tc>
      </w:tr>
      <w:tr w:rsidR="00EA754D" w14:paraId="628493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0E8A" w14:textId="77777777" w:rsidR="00EA754D" w:rsidRDefault="0051341F">
            <w:r>
              <w:rPr>
                <w:color w:val="000000"/>
                <w:sz w:val="19"/>
                <w:szCs w:val="19"/>
              </w:rPr>
              <w:t>dim_geography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BF64" w14:textId="77777777" w:rsidR="00EA754D" w:rsidRDefault="0051341F">
            <w:r>
              <w:rPr>
                <w:color w:val="000000"/>
                <w:sz w:val="19"/>
                <w:szCs w:val="19"/>
              </w:rPr>
              <w:t>location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3173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632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E59C" w14:textId="77777777" w:rsidR="00EA754D" w:rsidRDefault="0051341F">
            <w:r>
              <w:rPr>
                <w:color w:val="000000"/>
                <w:sz w:val="19"/>
                <w:szCs w:val="19"/>
              </w:rPr>
              <w:t>geo_key</w:t>
            </w:r>
          </w:p>
        </w:tc>
      </w:tr>
      <w:tr w:rsidR="00EA754D" w14:paraId="16408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AC8F" w14:textId="77777777" w:rsidR="00EA754D" w:rsidRDefault="0051341F">
            <w:r>
              <w:rPr>
                <w:color w:val="000000"/>
                <w:sz w:val="19"/>
                <w:szCs w:val="19"/>
              </w:rPr>
              <w:t>dim_date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A0CB" w14:textId="77777777" w:rsidR="00EA754D" w:rsidRDefault="0051341F">
            <w:r>
              <w:rPr>
                <w:color w:val="000000"/>
                <w:sz w:val="19"/>
                <w:szCs w:val="19"/>
              </w:rPr>
              <w:t>day, 2014 to Jan 2018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8A73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1,492</w:t>
            </w:r>
          </w:p>
        </w:tc>
        <w:tc>
          <w:tcPr>
            <w:tcW w:w="26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3D89" w14:textId="77777777" w:rsidR="00EA754D" w:rsidRDefault="0051341F">
            <w:r>
              <w:rPr>
                <w:color w:val="000000"/>
                <w:sz w:val="19"/>
                <w:szCs w:val="19"/>
              </w:rPr>
              <w:t>date_key</w:t>
            </w:r>
          </w:p>
        </w:tc>
      </w:tr>
    </w:tbl>
    <w:p w14:paraId="45DB8B4A" w14:textId="77777777" w:rsidR="00EA754D" w:rsidRDefault="0051341F">
      <w:pPr>
        <w:spacing w:before="80" w:after="200"/>
      </w:pPr>
      <w:r>
        <w:rPr>
          <w:i/>
          <w:iCs/>
          <w:color w:val="555555"/>
          <w:sz w:val="19"/>
          <w:szCs w:val="19"/>
        </w:rPr>
        <w:t>Table 1: Star schema tables.</w:t>
      </w:r>
    </w:p>
    <w:p w14:paraId="127B81B5" w14:textId="77777777" w:rsidR="00EA754D" w:rsidRDefault="0051341F">
      <w:pPr>
        <w:spacing w:after="100"/>
      </w:pPr>
      <w:r>
        <w:rPr>
          <w:color w:val="000000"/>
        </w:rPr>
        <w:t>Three data-quality findings shaped the model:</w:t>
      </w:r>
    </w:p>
    <w:p w14:paraId="272BBED8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32 Product</w:t>
      </w:r>
      <w:r w:rsidR="00E07216">
        <w:rPr>
          <w:color w:val="000000"/>
        </w:rPr>
        <w:t xml:space="preserve"> </w:t>
      </w:r>
      <w:r>
        <w:rPr>
          <w:color w:val="000000"/>
        </w:rPr>
        <w:t>IDs have more than one product name, so a product is the pair of ID and name. Joining on the ID alone would duplicate revenue.</w:t>
      </w:r>
    </w:p>
    <w:p w14:paraId="54451FE3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One postal code appears with two city, state and region combinations, so a location is the full combination.</w:t>
      </w:r>
    </w:p>
    <w:p w14:paraId="7AE522E0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Ship date</w:t>
      </w:r>
      <w:r>
        <w:rPr>
          <w:color w:val="000000"/>
        </w:rPr>
        <w:t>s run to 5 January 2018, so the date table extends to 31 January 2018.</w:t>
      </w:r>
    </w:p>
    <w:p w14:paraId="4377DC4B" w14:textId="77777777" w:rsidR="00EA754D" w:rsidRDefault="00EA754D">
      <w:pPr>
        <w:spacing w:after="60"/>
      </w:pPr>
    </w:p>
    <w:p w14:paraId="684AF8E5" w14:textId="77777777" w:rsidR="00E07216" w:rsidRDefault="00E07216">
      <w:pPr>
        <w:spacing w:before="80" w:after="200"/>
        <w:rPr>
          <w:i/>
          <w:iCs/>
          <w:color w:val="555555"/>
          <w:sz w:val="19"/>
          <w:szCs w:val="19"/>
        </w:rPr>
      </w:pPr>
    </w:p>
    <w:p w14:paraId="1F3B4641" w14:textId="77777777" w:rsidR="00E07216" w:rsidRDefault="00E07216">
      <w:pPr>
        <w:spacing w:before="80" w:after="200"/>
        <w:rPr>
          <w:i/>
          <w:iCs/>
          <w:color w:val="555555"/>
          <w:sz w:val="19"/>
          <w:szCs w:val="19"/>
        </w:rPr>
      </w:pPr>
    </w:p>
    <w:p w14:paraId="4002F604" w14:textId="77777777" w:rsidR="00E07216" w:rsidRDefault="00E07216">
      <w:pPr>
        <w:spacing w:before="80" w:after="200"/>
        <w:rPr>
          <w:i/>
          <w:iCs/>
          <w:color w:val="555555"/>
          <w:sz w:val="19"/>
          <w:szCs w:val="19"/>
        </w:rPr>
      </w:pPr>
    </w:p>
    <w:p w14:paraId="4CA4DF74" w14:textId="77777777" w:rsidR="00E07216" w:rsidRDefault="00E07216">
      <w:pPr>
        <w:spacing w:before="80" w:after="200"/>
        <w:rPr>
          <w:i/>
          <w:iCs/>
          <w:color w:val="555555"/>
          <w:sz w:val="19"/>
          <w:szCs w:val="19"/>
        </w:rPr>
      </w:pPr>
      <w:r>
        <w:rPr>
          <w:i/>
          <w:iCs/>
          <w:noProof/>
          <w:color w:val="555555"/>
          <w:sz w:val="19"/>
          <w:szCs w:val="19"/>
        </w:rPr>
        <w:lastRenderedPageBreak/>
        <w:t xml:space="preserve"> </w:t>
      </w:r>
      <w:r>
        <w:rPr>
          <w:i/>
          <w:iCs/>
          <w:noProof/>
          <w:color w:val="555555"/>
          <w:sz w:val="19"/>
          <w:szCs w:val="19"/>
        </w:rPr>
        <w:drawing>
          <wp:inline distT="0" distB="0" distL="0" distR="0" wp14:anchorId="6F8A71E2" wp14:editId="2D3FD401">
            <wp:extent cx="5959475" cy="3063087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 View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4"/>
                    <a:stretch/>
                  </pic:blipFill>
                  <pic:spPr bwMode="auto">
                    <a:xfrm>
                      <a:off x="0" y="0"/>
                      <a:ext cx="5978374" cy="3072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6C1D4379" w14:textId="77777777" w:rsidR="00EA754D" w:rsidRDefault="0051341F" w:rsidP="00E07216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Figure 1: Data model in Power BI. fact_sales sits in the centre with four dimensions.</w:t>
      </w:r>
    </w:p>
    <w:p w14:paraId="39B26D19" w14:textId="77777777" w:rsidR="00093F11" w:rsidRDefault="00093F11" w:rsidP="00E07216">
      <w:pPr>
        <w:spacing w:before="80" w:after="200"/>
        <w:jc w:val="center"/>
        <w:rPr>
          <w:noProof/>
        </w:rPr>
      </w:pPr>
    </w:p>
    <w:p w14:paraId="0D10208B" w14:textId="77777777" w:rsidR="00093F11" w:rsidRDefault="00093F11" w:rsidP="00E07216">
      <w:pPr>
        <w:spacing w:before="80" w:after="200"/>
        <w:jc w:val="center"/>
      </w:pPr>
    </w:p>
    <w:p w14:paraId="3EBD1A69" w14:textId="77777777" w:rsidR="00093F11" w:rsidRDefault="00093F11" w:rsidP="00E07216">
      <w:pPr>
        <w:spacing w:before="80" w:after="200"/>
        <w:jc w:val="center"/>
      </w:pPr>
      <w:r>
        <w:rPr>
          <w:noProof/>
        </w:rPr>
        <w:drawing>
          <wp:inline distT="0" distB="0" distL="0" distR="0" wp14:anchorId="04B4E93B" wp14:editId="2B643F1F">
            <wp:extent cx="4133850" cy="4181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cel_check_piv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0489" w14:textId="77777777" w:rsidR="00093F11" w:rsidRDefault="00093F11" w:rsidP="00E07216">
      <w:pPr>
        <w:spacing w:before="80" w:after="200"/>
        <w:jc w:val="center"/>
      </w:pPr>
      <w:r>
        <w:t>Excel PivotTable of sales by year and month. Excel groups digits in the Indian style, so 22,97,200.86 = 2,297,200.86 and 1,18,447.83 = 118,447.83, matching SQL.</w:t>
      </w:r>
    </w:p>
    <w:p w14:paraId="76D9E62A" w14:textId="77777777" w:rsidR="00093F11" w:rsidRDefault="00093F11" w:rsidP="00E07216">
      <w:pPr>
        <w:spacing w:before="80" w:after="200"/>
        <w:jc w:val="center"/>
      </w:pPr>
    </w:p>
    <w:p w14:paraId="205FD6C4" w14:textId="77777777" w:rsidR="00093F11" w:rsidRDefault="00093F11" w:rsidP="00E07216">
      <w:pPr>
        <w:spacing w:before="80" w:after="200"/>
        <w:jc w:val="center"/>
      </w:pPr>
    </w:p>
    <w:p w14:paraId="17BEDA46" w14:textId="77777777" w:rsidR="00EA754D" w:rsidRDefault="0051341F">
      <w:pPr>
        <w:pStyle w:val="Heading2"/>
      </w:pPr>
      <w:r>
        <w:lastRenderedPageBreak/>
        <w:t>Checks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50"/>
        <w:gridCol w:w="2250"/>
        <w:gridCol w:w="2246"/>
      </w:tblGrid>
      <w:tr w:rsidR="00EA754D" w14:paraId="31A86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86455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CD80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SQL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58F4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Power BI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5DFC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Excel</w:t>
            </w:r>
          </w:p>
        </w:tc>
      </w:tr>
      <w:tr w:rsidR="00EA754D" w14:paraId="1CFB6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DD03" w14:textId="77777777" w:rsidR="00EA754D" w:rsidRDefault="0051341F">
            <w:r>
              <w:rPr>
                <w:color w:val="000000"/>
                <w:sz w:val="19"/>
                <w:szCs w:val="19"/>
              </w:rPr>
              <w:t>Total sales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73D6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2,297,200.86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B7FA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2,297,200.86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C691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2,297,200.86</w:t>
            </w:r>
          </w:p>
        </w:tc>
      </w:tr>
      <w:tr w:rsidR="00EA754D" w14:paraId="64533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18FF" w14:textId="77777777" w:rsidR="00EA754D" w:rsidRDefault="0051341F">
            <w:r>
              <w:rPr>
                <w:color w:val="000000"/>
                <w:sz w:val="19"/>
                <w:szCs w:val="19"/>
              </w:rPr>
              <w:t>Total profit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F01D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286,397.02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5D94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286,397.02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D6D2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EA754D" w14:paraId="2D850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DA50" w14:textId="77777777" w:rsidR="00EA754D" w:rsidRDefault="0051341F">
            <w:r>
              <w:rPr>
                <w:color w:val="000000"/>
                <w:sz w:val="19"/>
                <w:szCs w:val="19"/>
              </w:rPr>
              <w:t>Orders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1B1C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5,009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D82A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5,009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98AE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EA754D" w14:paraId="26866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F2F4" w14:textId="77777777" w:rsidR="00EA754D" w:rsidRDefault="0051341F">
            <w:r>
              <w:rPr>
                <w:color w:val="000000"/>
                <w:sz w:val="19"/>
                <w:szCs w:val="19"/>
              </w:rPr>
              <w:t>Customers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5920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793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FC56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793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55AB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EA754D" w14:paraId="51A95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ECFF" w14:textId="77777777" w:rsidR="00EA754D" w:rsidRDefault="0051341F">
            <w:r>
              <w:rPr>
                <w:color w:val="000000"/>
                <w:sz w:val="19"/>
                <w:szCs w:val="19"/>
              </w:rPr>
              <w:t>Sales, November 2017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B313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118,447.83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C1D6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F1BB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118,447.83</w:t>
            </w:r>
          </w:p>
        </w:tc>
      </w:tr>
      <w:tr w:rsidR="00EA754D" w14:paraId="4A3CFF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2235" w14:textId="77777777" w:rsidR="00EA754D" w:rsidRDefault="0051341F">
            <w:r>
              <w:rPr>
                <w:color w:val="000000"/>
                <w:sz w:val="19"/>
                <w:szCs w:val="19"/>
              </w:rPr>
              <w:t>Sales, February 2014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40AB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4,519.89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ABCD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2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9C7B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4,519.89</w:t>
            </w:r>
          </w:p>
        </w:tc>
      </w:tr>
    </w:tbl>
    <w:p w14:paraId="2129D716" w14:textId="77777777" w:rsidR="00EA754D" w:rsidRDefault="0051341F" w:rsidP="00E07216">
      <w:pPr>
        <w:spacing w:before="80" w:after="200"/>
        <w:jc w:val="center"/>
      </w:pPr>
      <w:r>
        <w:rPr>
          <w:i/>
          <w:iCs/>
          <w:color w:val="555555"/>
          <w:sz w:val="19"/>
          <w:szCs w:val="19"/>
        </w:rPr>
        <w:t>Table 2: Results reconciled across SQL, Power BI and Excel. The star-schema integrity check found no fact row without a matching customer, product, location or date.</w:t>
      </w:r>
    </w:p>
    <w:p w14:paraId="5D2D19CB" w14:textId="77777777" w:rsidR="00E07216" w:rsidRDefault="00E07216" w:rsidP="00E07216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</w:p>
    <w:p w14:paraId="2643606E" w14:textId="77777777" w:rsidR="00E07216" w:rsidRDefault="00BF755D">
      <w:pPr>
        <w:spacing w:before="80" w:after="200"/>
        <w:rPr>
          <w:i/>
          <w:iCs/>
          <w:color w:val="555555"/>
          <w:sz w:val="19"/>
          <w:szCs w:val="19"/>
        </w:rPr>
      </w:pPr>
      <w:r>
        <w:rPr>
          <w:i/>
          <w:iCs/>
          <w:noProof/>
          <w:color w:val="555555"/>
          <w:sz w:val="19"/>
          <w:szCs w:val="19"/>
        </w:rPr>
        <w:drawing>
          <wp:inline distT="0" distB="0" distL="0" distR="0" wp14:anchorId="3FD65510" wp14:editId="1C8A279F">
            <wp:extent cx="6188710" cy="2974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6 1258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3415" w14:textId="77777777" w:rsidR="00E07216" w:rsidRPr="00BF755D" w:rsidRDefault="00BF755D" w:rsidP="00BF755D">
      <w:pPr>
        <w:spacing w:before="80" w:after="200"/>
        <w:jc w:val="center"/>
      </w:pPr>
      <w:r>
        <w:rPr>
          <w:i/>
          <w:iCs/>
          <w:color w:val="555555"/>
          <w:sz w:val="19"/>
          <w:szCs w:val="19"/>
        </w:rPr>
        <w:t>Figure 2: Power BI measures checked against SQL.</w:t>
      </w:r>
    </w:p>
    <w:p w14:paraId="37F5AE1F" w14:textId="77777777" w:rsidR="00EA754D" w:rsidRDefault="0051341F">
      <w:pPr>
        <w:pStyle w:val="Heading1"/>
      </w:pPr>
      <w:r>
        <w:t>3. Method and results</w:t>
      </w:r>
    </w:p>
    <w:p w14:paraId="6725A059" w14:textId="77777777" w:rsidR="00EA754D" w:rsidRDefault="0051341F">
      <w:pPr>
        <w:pStyle w:val="Heading2"/>
      </w:pPr>
      <w:r>
        <w:t>3.1 SQL</w:t>
      </w:r>
    </w:p>
    <w:p w14:paraId="298552F2" w14:textId="19802E68" w:rsidR="00EA754D" w:rsidRDefault="0051341F">
      <w:pPr>
        <w:spacing w:after="100"/>
        <w:rPr>
          <w:color w:val="000000"/>
        </w:rPr>
      </w:pPr>
      <w:r>
        <w:rPr>
          <w:color w:val="000000"/>
        </w:rPr>
        <w:t>Ten labelled queries use inner and left joins, GROUP BY with HAVING, CTEs, subqueries and window functions. Examples: a join with HAVING finds the three sub-categories that lose</w:t>
      </w:r>
      <w:r>
        <w:rPr>
          <w:color w:val="000000"/>
        </w:rPr>
        <w:t xml:space="preserve"> money (Tables, Bookcases and Supplies); a CTE finds the strongest months (November 2017 first, at $118,447.83); LAG gives month-over-month growth; a running total, RANK and a left join (customers with no 2017 order: 100) complete the set. Results were che</w:t>
      </w:r>
      <w:r>
        <w:rPr>
          <w:color w:val="000000"/>
        </w:rPr>
        <w:t>cked against Power BI and Excel.</w:t>
      </w:r>
    </w:p>
    <w:p w14:paraId="658102DA" w14:textId="21575271" w:rsidR="00AE27A8" w:rsidRDefault="00AE27A8">
      <w:pPr>
        <w:spacing w:after="100"/>
      </w:pPr>
    </w:p>
    <w:p w14:paraId="2E028C73" w14:textId="32D2D1A0" w:rsidR="00AE27A8" w:rsidRDefault="00AE27A8">
      <w:pPr>
        <w:spacing w:after="100"/>
      </w:pPr>
    </w:p>
    <w:p w14:paraId="5CC0A34A" w14:textId="6545489D" w:rsidR="00AE27A8" w:rsidRDefault="00AE27A8">
      <w:pPr>
        <w:spacing w:after="100"/>
      </w:pPr>
    </w:p>
    <w:p w14:paraId="2DFF9D1B" w14:textId="423AE821" w:rsidR="00AE27A8" w:rsidRDefault="00AE27A8">
      <w:pPr>
        <w:spacing w:after="100"/>
      </w:pPr>
    </w:p>
    <w:p w14:paraId="68E8133A" w14:textId="2A367EB9" w:rsidR="00AE27A8" w:rsidRDefault="00AE27A8">
      <w:pPr>
        <w:spacing w:after="100"/>
      </w:pPr>
    </w:p>
    <w:p w14:paraId="07A85335" w14:textId="5F8CBD1E" w:rsidR="00AE27A8" w:rsidRDefault="00AE27A8">
      <w:pPr>
        <w:spacing w:after="100"/>
      </w:pPr>
    </w:p>
    <w:p w14:paraId="35400FD3" w14:textId="75ABE904" w:rsidR="00AE27A8" w:rsidRDefault="00AE27A8">
      <w:pPr>
        <w:spacing w:after="100"/>
      </w:pPr>
    </w:p>
    <w:p w14:paraId="5F1736B6" w14:textId="77777777" w:rsidR="00AE27A8" w:rsidRDefault="00AE27A8">
      <w:pPr>
        <w:spacing w:after="100"/>
      </w:pPr>
    </w:p>
    <w:p w14:paraId="7ACBD4DE" w14:textId="77777777" w:rsidR="00EA754D" w:rsidRDefault="0051341F">
      <w:pPr>
        <w:pStyle w:val="Heading2"/>
      </w:pPr>
      <w:r>
        <w:lastRenderedPageBreak/>
        <w:t>3.2 Customer segments (RFM)</w:t>
      </w:r>
    </w:p>
    <w:p w14:paraId="78B2495F" w14:textId="77777777" w:rsidR="00EA754D" w:rsidRDefault="0051341F">
      <w:pPr>
        <w:spacing w:after="100"/>
      </w:pPr>
      <w:r>
        <w:rPr>
          <w:color w:val="000000"/>
        </w:rPr>
        <w:t>Each customer is scored from 1 to 5 on recency (days since last order, scored in reverse), frequency (orders) and monetary value (sales) using NTILE. Segments combine the scores.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50"/>
        <w:gridCol w:w="1100"/>
        <w:gridCol w:w="1200"/>
        <w:gridCol w:w="3396"/>
      </w:tblGrid>
      <w:tr w:rsidR="00EA754D" w14:paraId="56ADE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C41C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5716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DCEE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6C8F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Share of sales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521C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EA754D" w14:paraId="411314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F694" w14:textId="77777777" w:rsidR="00EA754D" w:rsidRDefault="0051341F">
            <w:r>
              <w:rPr>
                <w:color w:val="000000"/>
                <w:sz w:val="19"/>
                <w:szCs w:val="19"/>
              </w:rPr>
              <w:t>Champions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7411" w14:textId="77777777" w:rsidR="00EA754D" w:rsidRDefault="0051341F">
            <w:r>
              <w:rPr>
                <w:color w:val="000000"/>
                <w:sz w:val="19"/>
                <w:szCs w:val="19"/>
              </w:rPr>
              <w:t>recency 4-5, frequency 4-5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8406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165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9779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29.1%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C6C4" w14:textId="77777777" w:rsidR="00EA754D" w:rsidRDefault="0051341F">
            <w:r>
              <w:rPr>
                <w:color w:val="000000"/>
                <w:sz w:val="19"/>
                <w:szCs w:val="19"/>
              </w:rPr>
              <w:t>Reward, early access, referrals</w:t>
            </w:r>
          </w:p>
        </w:tc>
      </w:tr>
      <w:tr w:rsidR="00EA754D" w14:paraId="6707A2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C2BE" w14:textId="77777777" w:rsidR="00EA754D" w:rsidRDefault="0051341F">
            <w:r>
              <w:rPr>
                <w:color w:val="000000"/>
                <w:sz w:val="19"/>
                <w:szCs w:val="19"/>
              </w:rPr>
              <w:t>Loyal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BEA1" w14:textId="77777777" w:rsidR="00EA754D" w:rsidRDefault="0051341F">
            <w:r>
              <w:rPr>
                <w:color w:val="000000"/>
                <w:sz w:val="19"/>
                <w:szCs w:val="19"/>
              </w:rPr>
              <w:t>recency 3-5, frequency 3-5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E488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164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F82A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23.5%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5D64" w14:textId="77777777" w:rsidR="00EA754D" w:rsidRDefault="0051341F">
            <w:r>
              <w:rPr>
                <w:color w:val="000000"/>
                <w:sz w:val="19"/>
                <w:szCs w:val="19"/>
              </w:rPr>
              <w:t>Upsell and bundle offers</w:t>
            </w:r>
          </w:p>
        </w:tc>
      </w:tr>
      <w:tr w:rsidR="00EA754D" w14:paraId="1D7989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011F" w14:textId="77777777" w:rsidR="00EA754D" w:rsidRDefault="0051341F">
            <w:r>
              <w:rPr>
                <w:color w:val="000000"/>
                <w:sz w:val="19"/>
                <w:szCs w:val="19"/>
              </w:rPr>
              <w:t>At Risk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D043" w14:textId="77777777" w:rsidR="00EA754D" w:rsidRDefault="0051341F">
            <w:r>
              <w:rPr>
                <w:color w:val="000000"/>
                <w:sz w:val="19"/>
                <w:szCs w:val="19"/>
              </w:rPr>
              <w:t>recency 1-2, frequency 3-5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778E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146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3490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21.6%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5812" w14:textId="77777777" w:rsidR="00EA754D" w:rsidRDefault="0051341F">
            <w:r>
              <w:rPr>
                <w:color w:val="000000"/>
                <w:sz w:val="19"/>
                <w:szCs w:val="19"/>
              </w:rPr>
              <w:t>Win-back offer before they are lost</w:t>
            </w:r>
          </w:p>
        </w:tc>
      </w:tr>
      <w:tr w:rsidR="00EA754D" w14:paraId="04091C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85DB" w14:textId="77777777" w:rsidR="00EA754D" w:rsidRDefault="0051341F">
            <w:r>
              <w:rPr>
                <w:color w:val="000000"/>
                <w:sz w:val="19"/>
                <w:szCs w:val="19"/>
              </w:rPr>
              <w:t>Promising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0E62" w14:textId="77777777" w:rsidR="00EA754D" w:rsidRDefault="0051341F">
            <w:r>
              <w:rPr>
                <w:color w:val="000000"/>
                <w:sz w:val="19"/>
                <w:szCs w:val="19"/>
              </w:rPr>
              <w:t>recency 3-5, frequency 1-2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87B0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140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4CB9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12.9%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15B8" w14:textId="77777777" w:rsidR="00EA754D" w:rsidRDefault="0051341F">
            <w:r>
              <w:rPr>
                <w:color w:val="000000"/>
                <w:sz w:val="19"/>
                <w:szCs w:val="19"/>
              </w:rPr>
              <w:t>Encourage the next purchase</w:t>
            </w:r>
          </w:p>
        </w:tc>
      </w:tr>
      <w:tr w:rsidR="00EA754D" w14:paraId="25A20D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8A40" w14:textId="77777777" w:rsidR="00EA754D" w:rsidRDefault="0051341F">
            <w:r>
              <w:rPr>
                <w:color w:val="000000"/>
                <w:sz w:val="19"/>
                <w:szCs w:val="19"/>
              </w:rPr>
              <w:t>Lost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A24C" w14:textId="77777777" w:rsidR="00EA754D" w:rsidRDefault="0051341F">
            <w:r>
              <w:rPr>
                <w:color w:val="000000"/>
                <w:sz w:val="19"/>
                <w:szCs w:val="19"/>
              </w:rPr>
              <w:t>recency 1-2, frequency 1-2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30ED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167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BC7B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12.5%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7FFE" w14:textId="77777777" w:rsidR="00EA754D" w:rsidRDefault="0051341F">
            <w:r>
              <w:rPr>
                <w:color w:val="000000"/>
                <w:sz w:val="19"/>
                <w:szCs w:val="19"/>
              </w:rPr>
              <w:t>Low-cost reactivation</w:t>
            </w:r>
          </w:p>
        </w:tc>
      </w:tr>
      <w:tr w:rsidR="00EA754D" w14:paraId="4319A1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C20B" w14:textId="77777777" w:rsidR="00EA754D" w:rsidRDefault="0051341F">
            <w:r>
              <w:rPr>
                <w:color w:val="000000"/>
                <w:sz w:val="19"/>
                <w:szCs w:val="19"/>
              </w:rPr>
              <w:t>New</w:t>
            </w:r>
          </w:p>
        </w:tc>
        <w:tc>
          <w:tcPr>
            <w:tcW w:w="25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FAA9" w14:textId="77777777" w:rsidR="00EA754D" w:rsidRDefault="0051341F">
            <w:r>
              <w:rPr>
                <w:color w:val="000000"/>
                <w:sz w:val="19"/>
                <w:szCs w:val="19"/>
              </w:rPr>
              <w:t>first order in 2017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F6FD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40B2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0.3%</w:t>
            </w:r>
          </w:p>
        </w:tc>
        <w:tc>
          <w:tcPr>
            <w:tcW w:w="33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BF04" w14:textId="77777777" w:rsidR="00EA754D" w:rsidRDefault="0051341F">
            <w:r>
              <w:rPr>
                <w:color w:val="000000"/>
                <w:sz w:val="19"/>
                <w:szCs w:val="19"/>
              </w:rPr>
              <w:t>Follow up within 60 days</w:t>
            </w:r>
          </w:p>
        </w:tc>
      </w:tr>
    </w:tbl>
    <w:p w14:paraId="49544818" w14:textId="77777777" w:rsidR="00EA754D" w:rsidRDefault="0051341F">
      <w:pPr>
        <w:spacing w:before="80" w:after="200"/>
      </w:pPr>
      <w:r>
        <w:rPr>
          <w:i/>
          <w:iCs/>
          <w:color w:val="555555"/>
          <w:sz w:val="19"/>
          <w:szCs w:val="19"/>
        </w:rPr>
        <w:t>Table 3: RFM segments. Promising is a sixth segment added so that recent customers with few orders have a home.</w:t>
      </w:r>
    </w:p>
    <w:p w14:paraId="415E8FD8" w14:textId="77777777" w:rsidR="00E07216" w:rsidRDefault="00E07216">
      <w:pPr>
        <w:spacing w:before="80" w:after="200"/>
        <w:rPr>
          <w:i/>
          <w:iCs/>
          <w:color w:val="555555"/>
          <w:sz w:val="19"/>
          <w:szCs w:val="19"/>
        </w:rPr>
      </w:pPr>
    </w:p>
    <w:p w14:paraId="63C1241D" w14:textId="77777777" w:rsidR="00E07216" w:rsidRDefault="00BF755D">
      <w:pPr>
        <w:spacing w:before="80" w:after="200"/>
        <w:rPr>
          <w:i/>
          <w:iCs/>
          <w:color w:val="555555"/>
          <w:sz w:val="19"/>
          <w:szCs w:val="19"/>
        </w:rPr>
      </w:pPr>
      <w:r>
        <w:rPr>
          <w:i/>
          <w:iCs/>
          <w:noProof/>
          <w:color w:val="555555"/>
          <w:sz w:val="19"/>
          <w:szCs w:val="19"/>
        </w:rPr>
        <w:drawing>
          <wp:inline distT="0" distB="0" distL="0" distR="0" wp14:anchorId="7B1ECC4F" wp14:editId="6790F2D3">
            <wp:extent cx="6023015" cy="337056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stomer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752" cy="33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53CA" w14:textId="77777777" w:rsidR="00EA754D" w:rsidRDefault="0051341F" w:rsidP="00BF755D">
      <w:pPr>
        <w:spacing w:before="80" w:after="20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Figure 3: Segment sales and the 2014 cohort retention heatmap. Right-clicking a segment drills through to its customers (At Risk: 146).</w:t>
      </w:r>
    </w:p>
    <w:p w14:paraId="4684AFC5" w14:textId="77777777" w:rsidR="00BF755D" w:rsidRDefault="00BF755D" w:rsidP="00BF755D">
      <w:pPr>
        <w:spacing w:before="80" w:after="200"/>
      </w:pPr>
    </w:p>
    <w:p w14:paraId="6B57FA1F" w14:textId="77777777" w:rsidR="00EA754D" w:rsidRDefault="0051341F">
      <w:pPr>
        <w:pStyle w:val="Heading2"/>
      </w:pPr>
      <w:r>
        <w:t>3.3 Cohorts and retention</w:t>
      </w:r>
    </w:p>
    <w:p w14:paraId="29236422" w14:textId="189AD27D" w:rsidR="00EA754D" w:rsidRDefault="0051341F">
      <w:pPr>
        <w:spacing w:after="100"/>
        <w:rPr>
          <w:color w:val="000000"/>
        </w:rPr>
      </w:pPr>
      <w:r>
        <w:rPr>
          <w:color w:val="000000"/>
        </w:rPr>
        <w:t>Customers are grouped by the month of their first order. About 11% of a cohort orders again in</w:t>
      </w:r>
      <w:r>
        <w:rPr>
          <w:color w:val="000000"/>
        </w:rPr>
        <w:t xml:space="preserve"> month 1, 24% within 3 months, 43% within 6 and 69% within 12; only 2 of the 595 customers who started in 2014 never ordered again. Customers return steadily rather than dropping off sharply, and month 2 is the weakest (6.6%), so a follow-up offer in the f</w:t>
      </w:r>
      <w:r>
        <w:rPr>
          <w:color w:val="000000"/>
        </w:rPr>
        <w:t>irst 60 days is the best chance to speed up the second order. The heatmap shows the 2014 cohorts only, because 75% of customers started in 2014 and later cohorts are too small to read.</w:t>
      </w:r>
    </w:p>
    <w:p w14:paraId="0689CE3F" w14:textId="6FB9E947" w:rsidR="00AE27A8" w:rsidRDefault="00AE27A8">
      <w:pPr>
        <w:spacing w:after="100"/>
      </w:pPr>
    </w:p>
    <w:p w14:paraId="4A3730F1" w14:textId="730D52AD" w:rsidR="00AE27A8" w:rsidRDefault="00AE27A8">
      <w:pPr>
        <w:spacing w:after="100"/>
      </w:pPr>
    </w:p>
    <w:p w14:paraId="612999C0" w14:textId="77777777" w:rsidR="0051341F" w:rsidRDefault="0051341F">
      <w:pPr>
        <w:spacing w:after="100"/>
      </w:pPr>
      <w:bookmarkStart w:id="0" w:name="_GoBack"/>
      <w:bookmarkEnd w:id="0"/>
    </w:p>
    <w:p w14:paraId="4E88D983" w14:textId="77777777" w:rsidR="0051341F" w:rsidRDefault="0051341F">
      <w:pPr>
        <w:spacing w:after="100"/>
      </w:pPr>
    </w:p>
    <w:p w14:paraId="4DC54358" w14:textId="77777777" w:rsidR="00EA754D" w:rsidRDefault="0051341F">
      <w:pPr>
        <w:pStyle w:val="Heading2"/>
      </w:pPr>
      <w:r>
        <w:lastRenderedPageBreak/>
        <w:t>3.4 Forecast</w:t>
      </w:r>
    </w:p>
    <w:p w14:paraId="23B55C64" w14:textId="77777777" w:rsidR="00EA754D" w:rsidRDefault="0051341F">
      <w:pPr>
        <w:spacing w:after="100"/>
      </w:pPr>
      <w:r>
        <w:rPr>
          <w:color w:val="000000"/>
        </w:rPr>
        <w:t>Sales are strongly seasonal, so I tested three simple meth</w:t>
      </w:r>
      <w:r>
        <w:rPr>
          <w:color w:val="000000"/>
        </w:rPr>
        <w:t>ods on the last three months of data (October to December 2017), training on the earlier months.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600"/>
        <w:gridCol w:w="2546"/>
      </w:tblGrid>
      <w:tr w:rsidR="00EA754D" w14:paraId="23AFB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1E7F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FADB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Error (MAPE)</w:t>
            </w:r>
          </w:p>
        </w:tc>
        <w:tc>
          <w:tcPr>
            <w:tcW w:w="2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5BD4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</w:tr>
      <w:tr w:rsidR="00EA754D" w14:paraId="1FBE7ED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0118" w14:textId="77777777" w:rsidR="00EA754D" w:rsidRDefault="0051341F">
            <w:r>
              <w:rPr>
                <w:color w:val="000000"/>
                <w:sz w:val="19"/>
                <w:szCs w:val="19"/>
              </w:rPr>
              <w:t>3-month moving average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C37E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27.5%</w:t>
            </w:r>
          </w:p>
        </w:tc>
        <w:tc>
          <w:tcPr>
            <w:tcW w:w="2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A771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EA754D" w14:paraId="44F8CBE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70B1" w14:textId="77777777" w:rsidR="00EA754D" w:rsidRDefault="0051341F">
            <w:r>
              <w:rPr>
                <w:color w:val="000000"/>
                <w:sz w:val="19"/>
                <w:szCs w:val="19"/>
              </w:rPr>
              <w:t>Same month last year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22CC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24.0%</w:t>
            </w:r>
          </w:p>
        </w:tc>
        <w:tc>
          <w:tcPr>
            <w:tcW w:w="2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C68C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EA754D" w14:paraId="2CE8C23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AECB" w14:textId="77777777" w:rsidR="00EA754D" w:rsidRDefault="0051341F">
            <w:r>
              <w:rPr>
                <w:color w:val="000000"/>
                <w:sz w:val="19"/>
                <w:szCs w:val="19"/>
              </w:rPr>
              <w:t>Same month last year x growth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72F7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21.7%</w:t>
            </w:r>
          </w:p>
        </w:tc>
        <w:tc>
          <w:tcPr>
            <w:tcW w:w="2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6A09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</w:tbl>
    <w:p w14:paraId="786FCE5C" w14:textId="77777777" w:rsidR="00EA754D" w:rsidRDefault="0051341F">
      <w:pPr>
        <w:spacing w:before="80" w:after="200"/>
      </w:pPr>
      <w:r>
        <w:rPr>
          <w:i/>
          <w:iCs/>
          <w:color w:val="555555"/>
          <w:sz w:val="19"/>
          <w:szCs w:val="19"/>
        </w:rPr>
        <w:t>Table 4: Forecast accuracy on the test months. MAPE is the average percentage by which the forecast missed.</w:t>
      </w:r>
    </w:p>
    <w:p w14:paraId="744C8E76" w14:textId="77777777" w:rsidR="00EA754D" w:rsidRDefault="0051341F">
      <w:pPr>
        <w:spacing w:after="100"/>
      </w:pPr>
      <w:r>
        <w:rPr>
          <w:color w:val="000000"/>
        </w:rPr>
        <w:t>Three test months are few, so I re-ran the best method on 22 earlier months. The average error was 26.3%, and about 68% of forecasts landed within 4</w:t>
      </w:r>
      <w:r>
        <w:rPr>
          <w:color w:val="000000"/>
        </w:rPr>
        <w:t>0% of the actual. I therefore show the forecast as a range of plus or minus 40%: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5246"/>
      </w:tblGrid>
      <w:tr w:rsidR="00EA754D" w14:paraId="321A6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4C90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085A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Forecast</w:t>
            </w:r>
          </w:p>
        </w:tc>
        <w:tc>
          <w:tcPr>
            <w:tcW w:w="5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4EF1" w14:textId="77777777" w:rsidR="00EA754D" w:rsidRDefault="0051341F">
            <w:r>
              <w:rPr>
                <w:b/>
                <w:bCs/>
                <w:color w:val="FFFFFF"/>
                <w:sz w:val="19"/>
                <w:szCs w:val="19"/>
              </w:rPr>
              <w:t>Range</w:t>
            </w:r>
          </w:p>
        </w:tc>
      </w:tr>
      <w:tr w:rsidR="00EA754D" w14:paraId="60F10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6192" w14:textId="77777777" w:rsidR="00EA754D" w:rsidRDefault="0051341F">
            <w:r>
              <w:rPr>
                <w:color w:val="000000"/>
                <w:sz w:val="19"/>
                <w:szCs w:val="19"/>
              </w:rPr>
              <w:t>January 2018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F88E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$52,922</w:t>
            </w:r>
          </w:p>
        </w:tc>
        <w:tc>
          <w:tcPr>
            <w:tcW w:w="5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2340" w14:textId="77777777" w:rsidR="00EA754D" w:rsidRDefault="0051341F">
            <w:r>
              <w:rPr>
                <w:color w:val="000000"/>
                <w:sz w:val="19"/>
                <w:szCs w:val="19"/>
              </w:rPr>
              <w:t>$31,753 to $74,091</w:t>
            </w:r>
          </w:p>
        </w:tc>
      </w:tr>
      <w:tr w:rsidR="00EA754D" w14:paraId="72071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ACD3" w14:textId="77777777" w:rsidR="00EA754D" w:rsidRDefault="0051341F">
            <w:r>
              <w:rPr>
                <w:color w:val="000000"/>
                <w:sz w:val="19"/>
                <w:szCs w:val="19"/>
              </w:rPr>
              <w:t>February 2018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D22E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$24,434</w:t>
            </w:r>
          </w:p>
        </w:tc>
        <w:tc>
          <w:tcPr>
            <w:tcW w:w="5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D2AD" w14:textId="77777777" w:rsidR="00EA754D" w:rsidRDefault="0051341F">
            <w:r>
              <w:rPr>
                <w:color w:val="000000"/>
                <w:sz w:val="19"/>
                <w:szCs w:val="19"/>
              </w:rPr>
              <w:t>$14,660 to $34,208</w:t>
            </w:r>
          </w:p>
        </w:tc>
      </w:tr>
      <w:tr w:rsidR="00EA754D" w14:paraId="56AD5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F532" w14:textId="77777777" w:rsidR="00EA754D" w:rsidRDefault="0051341F">
            <w:r>
              <w:rPr>
                <w:color w:val="000000"/>
                <w:sz w:val="19"/>
                <w:szCs w:val="19"/>
              </w:rPr>
              <w:t>March 2018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4CB7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$70,856</w:t>
            </w:r>
          </w:p>
        </w:tc>
        <w:tc>
          <w:tcPr>
            <w:tcW w:w="5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E23E" w14:textId="77777777" w:rsidR="00EA754D" w:rsidRDefault="0051341F">
            <w:r>
              <w:rPr>
                <w:color w:val="000000"/>
                <w:sz w:val="19"/>
                <w:szCs w:val="19"/>
              </w:rPr>
              <w:t>$42,514 to $99,198</w:t>
            </w:r>
          </w:p>
        </w:tc>
      </w:tr>
      <w:tr w:rsidR="00EA754D" w14:paraId="50C07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5F5D" w14:textId="77777777" w:rsidR="00EA754D" w:rsidRDefault="0051341F">
            <w:r>
              <w:rPr>
                <w:color w:val="000000"/>
                <w:sz w:val="19"/>
                <w:szCs w:val="19"/>
              </w:rPr>
              <w:t>Q1 2018 total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6700" w14:textId="77777777" w:rsidR="00EA754D" w:rsidRDefault="0051341F">
            <w:pPr>
              <w:jc w:val="right"/>
            </w:pPr>
            <w:r>
              <w:rPr>
                <w:color w:val="000000"/>
                <w:sz w:val="19"/>
                <w:szCs w:val="19"/>
              </w:rPr>
              <w:t>about $148K</w:t>
            </w:r>
          </w:p>
        </w:tc>
        <w:tc>
          <w:tcPr>
            <w:tcW w:w="52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3A47" w14:textId="77777777" w:rsidR="00EA754D" w:rsidRDefault="0051341F">
            <w:r>
              <w:rPr>
                <w:color w:val="000000"/>
                <w:sz w:val="19"/>
                <w:szCs w:val="19"/>
              </w:rPr>
              <w:t>about $89K to $207K</w:t>
            </w:r>
          </w:p>
        </w:tc>
      </w:tr>
    </w:tbl>
    <w:p w14:paraId="0196021A" w14:textId="77777777" w:rsidR="00EA754D" w:rsidRDefault="0051341F">
      <w:pPr>
        <w:spacing w:before="80" w:after="200"/>
      </w:pPr>
      <w:r>
        <w:rPr>
          <w:i/>
          <w:iCs/>
          <w:color w:val="555555"/>
          <w:sz w:val="19"/>
          <w:szCs w:val="19"/>
        </w:rPr>
        <w:t>Table 5: Forecast for Q1 2018 with its range.</w:t>
      </w:r>
    </w:p>
    <w:p w14:paraId="72DB5F35" w14:textId="77777777" w:rsidR="00BF755D" w:rsidRDefault="00BF755D">
      <w:pPr>
        <w:spacing w:before="80" w:after="200"/>
        <w:rPr>
          <w:i/>
          <w:iCs/>
          <w:color w:val="555555"/>
          <w:sz w:val="19"/>
          <w:szCs w:val="19"/>
        </w:rPr>
      </w:pPr>
    </w:p>
    <w:p w14:paraId="64E06432" w14:textId="77777777" w:rsidR="00BF755D" w:rsidRDefault="00BF755D">
      <w:pPr>
        <w:spacing w:before="80" w:after="200"/>
        <w:rPr>
          <w:i/>
          <w:iCs/>
          <w:color w:val="555555"/>
          <w:sz w:val="19"/>
          <w:szCs w:val="19"/>
        </w:rPr>
      </w:pPr>
    </w:p>
    <w:p w14:paraId="0F70C5C8" w14:textId="4D7F96D9" w:rsidR="00EA754D" w:rsidRDefault="00BF755D" w:rsidP="00BF755D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  <w:r>
        <w:rPr>
          <w:i/>
          <w:iCs/>
          <w:noProof/>
          <w:color w:val="555555"/>
          <w:sz w:val="19"/>
          <w:szCs w:val="19"/>
        </w:rPr>
        <w:drawing>
          <wp:inline distT="0" distB="0" distL="0" distR="0" wp14:anchorId="3EC079DF" wp14:editId="79102518">
            <wp:extent cx="6229350" cy="346174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ducts and foreca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630" cy="34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41F">
        <w:rPr>
          <w:i/>
          <w:iCs/>
          <w:color w:val="555555"/>
          <w:sz w:val="19"/>
          <w:szCs w:val="19"/>
        </w:rPr>
        <w:t>Figure 4: Forecast with range, top products by profit, and yearly growth.</w:t>
      </w:r>
    </w:p>
    <w:p w14:paraId="32CAED62" w14:textId="2E018751" w:rsidR="0051341F" w:rsidRDefault="0051341F" w:rsidP="00BF755D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</w:p>
    <w:p w14:paraId="0BB1098B" w14:textId="21C7C82E" w:rsidR="0051341F" w:rsidRDefault="0051341F" w:rsidP="00BF755D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</w:p>
    <w:p w14:paraId="08574669" w14:textId="1734D861" w:rsidR="0051341F" w:rsidRDefault="0051341F" w:rsidP="00BF755D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</w:p>
    <w:p w14:paraId="615DB77C" w14:textId="77777777" w:rsidR="0051341F" w:rsidRPr="00BF755D" w:rsidRDefault="0051341F" w:rsidP="00BF755D">
      <w:pPr>
        <w:spacing w:before="80" w:after="200"/>
        <w:jc w:val="center"/>
        <w:rPr>
          <w:i/>
          <w:iCs/>
          <w:color w:val="555555"/>
          <w:sz w:val="19"/>
          <w:szCs w:val="19"/>
        </w:rPr>
      </w:pPr>
    </w:p>
    <w:p w14:paraId="7460478B" w14:textId="77777777" w:rsidR="00EA754D" w:rsidRDefault="0051341F">
      <w:pPr>
        <w:pStyle w:val="Heading2"/>
      </w:pPr>
      <w:r>
        <w:lastRenderedPageBreak/>
        <w:t>3.5 Power BI report</w:t>
      </w:r>
    </w:p>
    <w:p w14:paraId="2CA5A10C" w14:textId="77777777" w:rsidR="00EA754D" w:rsidRDefault="0051341F">
      <w:pPr>
        <w:spacing w:after="100"/>
        <w:rPr>
          <w:color w:val="000000"/>
        </w:rPr>
      </w:pPr>
      <w:r>
        <w:rPr>
          <w:color w:val="000000"/>
        </w:rPr>
        <w:t>The report is built on the star schema, not a flat table. Eleven DAX measures cover sales, profit, orders, customers, average order value, margin, year-over-year growth, repeat rate and customers by segment. Three pages (Executive summary, Customers with a</w:t>
      </w:r>
      <w:r>
        <w:rPr>
          <w:color w:val="000000"/>
        </w:rPr>
        <w:t xml:space="preserve"> drill-through to a customer list, and Products and forecast) use slicers, and chart titles state the finding.</w:t>
      </w:r>
    </w:p>
    <w:p w14:paraId="69202572" w14:textId="77777777" w:rsidR="00BF755D" w:rsidRDefault="00BF755D">
      <w:pPr>
        <w:spacing w:after="100"/>
      </w:pPr>
    </w:p>
    <w:p w14:paraId="11496953" w14:textId="77777777" w:rsidR="00EA754D" w:rsidRDefault="00BF755D" w:rsidP="00BF755D">
      <w:pPr>
        <w:spacing w:before="80" w:after="200"/>
        <w:jc w:val="center"/>
      </w:pPr>
      <w:r>
        <w:rPr>
          <w:i/>
          <w:iCs/>
          <w:noProof/>
          <w:color w:val="555555"/>
          <w:sz w:val="19"/>
          <w:szCs w:val="19"/>
        </w:rPr>
        <w:drawing>
          <wp:inline distT="0" distB="0" distL="0" distR="0" wp14:anchorId="7B6BF5B0" wp14:editId="77BD5765">
            <wp:extent cx="6188710" cy="34791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ecutive summar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41F">
        <w:rPr>
          <w:i/>
          <w:iCs/>
          <w:color w:val="555555"/>
          <w:sz w:val="19"/>
          <w:szCs w:val="19"/>
        </w:rPr>
        <w:t>Figure 5: Executive summary page, all regions.</w:t>
      </w:r>
    </w:p>
    <w:p w14:paraId="485A3FA3" w14:textId="77777777" w:rsidR="00BF755D" w:rsidRDefault="00BF755D">
      <w:pPr>
        <w:pStyle w:val="Heading1"/>
      </w:pPr>
    </w:p>
    <w:p w14:paraId="494829AE" w14:textId="77777777" w:rsidR="00EA754D" w:rsidRDefault="0051341F">
      <w:pPr>
        <w:pStyle w:val="Heading1"/>
      </w:pPr>
      <w:r>
        <w:t>4. Limits</w:t>
      </w:r>
    </w:p>
    <w:p w14:paraId="7073CD67" w14:textId="77777777" w:rsidR="00BF755D" w:rsidRDefault="00BF755D">
      <w:pPr>
        <w:pStyle w:val="Heading1"/>
      </w:pPr>
    </w:p>
    <w:p w14:paraId="259BD66A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This is sample data, not live company dat</w:t>
      </w:r>
      <w:r>
        <w:rPr>
          <w:color w:val="000000"/>
        </w:rPr>
        <w:t>a, and covers four years.</w:t>
      </w:r>
    </w:p>
    <w:p w14:paraId="667D6CDC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Discounts and losses occur together. This shows correlation, not proven cause.</w:t>
      </w:r>
    </w:p>
    <w:p w14:paraId="74C61148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The forecast is wide (typical error 26%), so use the range, not a single number.</w:t>
      </w:r>
    </w:p>
    <w:p w14:paraId="6D91DD6E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Most customers began in 2014, so conclusions about new customers rest on few people (11 in 2017).</w:t>
      </w:r>
    </w:p>
    <w:p w14:paraId="0FE8C2EB" w14:textId="77777777" w:rsidR="00EA754D" w:rsidRDefault="0051341F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The repeat rate is high (98.5%) because customers in this dataset average about 6 orders over four years; I would expect a lower rate on live data.</w:t>
      </w:r>
    </w:p>
    <w:sectPr w:rsidR="00EA754D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A7ACB"/>
    <w:multiLevelType w:val="hybridMultilevel"/>
    <w:tmpl w:val="46D4B176"/>
    <w:lvl w:ilvl="0" w:tplc="8A1250C8">
      <w:start w:val="1"/>
      <w:numFmt w:val="bullet"/>
      <w:lvlText w:val="•"/>
      <w:lvlJc w:val="left"/>
      <w:pPr>
        <w:ind w:left="720" w:hanging="360"/>
      </w:pPr>
    </w:lvl>
    <w:lvl w:ilvl="1" w:tplc="6D9C9542">
      <w:numFmt w:val="decimal"/>
      <w:lvlText w:val=""/>
      <w:lvlJc w:val="left"/>
    </w:lvl>
    <w:lvl w:ilvl="2" w:tplc="80F6D590">
      <w:numFmt w:val="decimal"/>
      <w:lvlText w:val=""/>
      <w:lvlJc w:val="left"/>
    </w:lvl>
    <w:lvl w:ilvl="3" w:tplc="893AEC00">
      <w:numFmt w:val="decimal"/>
      <w:lvlText w:val=""/>
      <w:lvlJc w:val="left"/>
    </w:lvl>
    <w:lvl w:ilvl="4" w:tplc="55D8C14E">
      <w:numFmt w:val="decimal"/>
      <w:lvlText w:val=""/>
      <w:lvlJc w:val="left"/>
    </w:lvl>
    <w:lvl w:ilvl="5" w:tplc="89E0EF6E">
      <w:numFmt w:val="decimal"/>
      <w:lvlText w:val=""/>
      <w:lvlJc w:val="left"/>
    </w:lvl>
    <w:lvl w:ilvl="6" w:tplc="FE9A1052">
      <w:numFmt w:val="decimal"/>
      <w:lvlText w:val=""/>
      <w:lvlJc w:val="left"/>
    </w:lvl>
    <w:lvl w:ilvl="7" w:tplc="6660F2F0">
      <w:numFmt w:val="decimal"/>
      <w:lvlText w:val=""/>
      <w:lvlJc w:val="left"/>
    </w:lvl>
    <w:lvl w:ilvl="8" w:tplc="633205A0">
      <w:numFmt w:val="decimal"/>
      <w:lvlText w:val=""/>
      <w:lvlJc w:val="left"/>
    </w:lvl>
  </w:abstractNum>
  <w:abstractNum w:abstractNumId="1" w15:restartNumberingAfterBreak="0">
    <w:nsid w:val="6E200862"/>
    <w:multiLevelType w:val="hybridMultilevel"/>
    <w:tmpl w:val="9B84A8DE"/>
    <w:lvl w:ilvl="0" w:tplc="EB886854">
      <w:start w:val="1"/>
      <w:numFmt w:val="bullet"/>
      <w:lvlText w:val="●"/>
      <w:lvlJc w:val="left"/>
      <w:pPr>
        <w:ind w:left="720" w:hanging="360"/>
      </w:pPr>
    </w:lvl>
    <w:lvl w:ilvl="1" w:tplc="F4C0038A">
      <w:start w:val="1"/>
      <w:numFmt w:val="bullet"/>
      <w:lvlText w:val="○"/>
      <w:lvlJc w:val="left"/>
      <w:pPr>
        <w:ind w:left="1440" w:hanging="360"/>
      </w:pPr>
    </w:lvl>
    <w:lvl w:ilvl="2" w:tplc="47CA8516">
      <w:start w:val="1"/>
      <w:numFmt w:val="bullet"/>
      <w:lvlText w:val="■"/>
      <w:lvlJc w:val="left"/>
      <w:pPr>
        <w:ind w:left="2160" w:hanging="360"/>
      </w:pPr>
    </w:lvl>
    <w:lvl w:ilvl="3" w:tplc="06FE884C">
      <w:start w:val="1"/>
      <w:numFmt w:val="bullet"/>
      <w:lvlText w:val="●"/>
      <w:lvlJc w:val="left"/>
      <w:pPr>
        <w:ind w:left="2880" w:hanging="360"/>
      </w:pPr>
    </w:lvl>
    <w:lvl w:ilvl="4" w:tplc="61D0F7DE">
      <w:start w:val="1"/>
      <w:numFmt w:val="bullet"/>
      <w:lvlText w:val="○"/>
      <w:lvlJc w:val="left"/>
      <w:pPr>
        <w:ind w:left="3600" w:hanging="360"/>
      </w:pPr>
    </w:lvl>
    <w:lvl w:ilvl="5" w:tplc="BCFA3E72">
      <w:start w:val="1"/>
      <w:numFmt w:val="bullet"/>
      <w:lvlText w:val="■"/>
      <w:lvlJc w:val="left"/>
      <w:pPr>
        <w:ind w:left="4320" w:hanging="360"/>
      </w:pPr>
    </w:lvl>
    <w:lvl w:ilvl="6" w:tplc="2B582858">
      <w:start w:val="1"/>
      <w:numFmt w:val="bullet"/>
      <w:lvlText w:val="●"/>
      <w:lvlJc w:val="left"/>
      <w:pPr>
        <w:ind w:left="5040" w:hanging="360"/>
      </w:pPr>
    </w:lvl>
    <w:lvl w:ilvl="7" w:tplc="109C776C">
      <w:start w:val="1"/>
      <w:numFmt w:val="bullet"/>
      <w:lvlText w:val="●"/>
      <w:lvlJc w:val="left"/>
      <w:pPr>
        <w:ind w:left="5760" w:hanging="360"/>
      </w:pPr>
    </w:lvl>
    <w:lvl w:ilvl="8" w:tplc="C5C4A6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54D"/>
    <w:rsid w:val="00093F11"/>
    <w:rsid w:val="0051341F"/>
    <w:rsid w:val="006C5287"/>
    <w:rsid w:val="00AE27A8"/>
    <w:rsid w:val="00BF755D"/>
    <w:rsid w:val="00E07216"/>
    <w:rsid w:val="00EA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B2DF"/>
  <w15:docId w15:val="{FE836728-37DE-40CE-8113-708C2E89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2C6D6-07B1-4DA6-9265-F1F55F871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2026-10-16T08:12:00Z</cp:lastPrinted>
  <dcterms:created xsi:type="dcterms:W3CDTF">2026-10-16T06:51:00Z</dcterms:created>
  <dcterms:modified xsi:type="dcterms:W3CDTF">2026-10-16T08:15:00Z</dcterms:modified>
</cp:coreProperties>
</file>