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E2430"/>
          <w:sz w:val="32"/>
          <w:szCs w:val="32"/>
        </w:rPr>
        <w:t xml:space="preserve">Twinspark Garage Management System</w:t>
      </w:r>
    </w:p>
    <w:p>
      <w:pPr>
        <w:pBdr>
          <w:bottom w:val="single" w:color="D8DCE3" w:sz="8"/>
        </w:pBdr>
        <w:spacing w:after="40"/>
      </w:pPr>
      <w:r>
        <w:rPr>
          <w:b/>
          <w:bCs/>
          <w:color w:val="B01C3E"/>
          <w:spacing w:val="50"/>
          <w:sz w:val="19"/>
          <w:szCs w:val="19"/>
        </w:rPr>
        <w:t xml:space="preserve">HANDOVER NOTE</w:t>
      </w:r>
      <w:r>
        <w:rPr>
          <w:i/>
          <w:iCs/>
          <w:color w:val="5B6472"/>
          <w:sz w:val="17"/>
          <w:szCs w:val="17"/>
        </w:rPr>
        <w:t xml:space="preserve">     Both parties sign one copy each.</w:t>
      </w:r>
    </w:p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1  </w:t>
      </w:r>
      <w:r>
        <w:rPr>
          <w:b/>
          <w:bCs/>
          <w:color w:val="1E2430"/>
          <w:sz w:val="21"/>
          <w:szCs w:val="21"/>
        </w:rPr>
        <w:t xml:space="preserve">Where the system lives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1"/>
        <w:gridCol w:w="7143"/>
      </w:tblGrid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Staff app address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https://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Customer order page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the same address with /order at the end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Handover date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DD / MM / YYYY</w:t>
            </w:r>
          </w:p>
        </w:tc>
      </w:tr>
    </w:tbl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2  </w:t>
      </w:r>
      <w:r>
        <w:rPr>
          <w:b/>
          <w:bCs/>
          <w:color w:val="1E2430"/>
          <w:sz w:val="21"/>
          <w:szCs w:val="21"/>
        </w:rPr>
        <w:t xml:space="preserve">Owner's login</w:t>
      </w:r>
    </w:p>
    <w:p>
      <w:pPr>
        <w:spacing w:after="70" w:line="240"/>
      </w:pPr>
      <w:r>
        <w:rPr>
          <w:color w:val="1E2430"/>
          <w:sz w:val="19"/>
          <w:szCs w:val="19"/>
        </w:rPr>
        <w:t xml:space="preserve">Full access to every screen. There is no "forgot password" email — only an Administrator can reset a password.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1"/>
        <w:gridCol w:w="7143"/>
      </w:tblGrid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Email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owner@…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Temporary password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change on first sign-in</w:t>
            </w:r>
          </w:p>
        </w:tc>
      </w:tr>
    </w:tbl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3  </w:t>
      </w:r>
      <w:r>
        <w:rPr>
          <w:b/>
          <w:bCs/>
          <w:color w:val="1E2430"/>
          <w:sz w:val="21"/>
          <w:szCs w:val="21"/>
        </w:rPr>
        <w:t xml:space="preserve">Staff accounts created</w:t>
      </w:r>
    </w:p>
    <w:tbl>
      <w:tblPr>
        <w:tblW w:type="dxa" w:w="10204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857"/>
        <w:gridCol w:w="4286"/>
        <w:gridCol w:w="3061"/>
      </w:tblGrid>
      <w:tr>
        <w:trPr>
          <w:tblHeader/>
        </w:trPr>
        <w:tc>
          <w:tcPr>
            <w:tcW w:type="dxa" w:w="2857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Name</w:t>
            </w:r>
          </w:p>
        </w:tc>
        <w:tc>
          <w:tcPr>
            <w:tcW w:type="dxa" w:w="4286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Email</w:t>
            </w:r>
          </w:p>
        </w:tc>
        <w:tc>
          <w:tcPr>
            <w:tcW w:type="dxa" w:w="3061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57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4286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3061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57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4286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3061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57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4286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  <w:tc>
          <w:tcPr>
            <w:tcW w:type="dxa" w:w="3061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70"/>
      </w:pPr>
      <w:r>
        <w:rPr>
          <w:color w:val="5B6472"/>
          <w:sz w:val="17"/>
          <w:szCs w:val="17"/>
        </w:rPr>
        <w:t xml:space="preserve">Administrator = everything · Sales Person = sales, customers, online orders · Mechanic = the same plus service jobs. Add more in Settings / Users.</w:t>
      </w:r>
    </w:p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4  </w:t>
      </w:r>
      <w:r>
        <w:rPr>
          <w:b/>
          <w:bCs/>
          <w:color w:val="1E2430"/>
          <w:sz w:val="21"/>
          <w:szCs w:val="21"/>
        </w:rPr>
        <w:t xml:space="preserve">Accounts and who pays for them</w:t>
      </w:r>
    </w:p>
    <w:p>
      <w:pPr>
        <w:spacing w:after="70" w:line="240"/>
      </w:pPr>
      <w:r>
        <w:rPr>
          <w:color w:val="1E2430"/>
          <w:sz w:val="19"/>
          <w:szCs w:val="19"/>
        </w:rPr>
        <w:t xml:space="preserve">Whoever owns these accounts controls the system. Agree it now, not in a year's time.</w:t>
      </w:r>
    </w:p>
    <w:tbl>
      <w:tblPr>
        <w:tblW w:type="dxa" w:w="10204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245"/>
        <w:gridCol w:w="4898"/>
        <w:gridCol w:w="3061"/>
      </w:tblGrid>
      <w:tr>
        <w:trPr>
          <w:tblHeader/>
        </w:trPr>
        <w:tc>
          <w:tcPr>
            <w:tcW w:type="dxa" w:w="2245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Service</w:t>
            </w:r>
          </w:p>
        </w:tc>
        <w:tc>
          <w:tcPr>
            <w:tcW w:type="dxa" w:w="4898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What it holds</w:t>
            </w:r>
          </w:p>
        </w:tc>
        <w:tc>
          <w:tcPr>
            <w:tcW w:type="dxa" w:w="3061"/>
            <w:shd w:fill="F1F3F6" w:color="auto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Account owner</w:t>
            </w:r>
          </w:p>
        </w:tc>
      </w:tr>
      <w:tr>
        <w:tc>
          <w:tcPr>
            <w:tcW w:type="dxa" w:w="2245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Hosting</w:t>
            </w:r>
          </w:p>
        </w:tc>
        <w:tc>
          <w:tcPr>
            <w:tcW w:type="dxa" w:w="4898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The website itself</w:t>
            </w:r>
          </w:p>
        </w:tc>
        <w:tc>
          <w:tcPr>
            <w:tcW w:type="dxa" w:w="3061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45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Database</w:t>
            </w:r>
          </w:p>
        </w:tc>
        <w:tc>
          <w:tcPr>
            <w:tcW w:type="dxa" w:w="4898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All your data, plus automatic backups</w:t>
            </w:r>
          </w:p>
        </w:tc>
        <w:tc>
          <w:tcPr>
            <w:tcW w:type="dxa" w:w="3061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after="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5  </w:t>
      </w:r>
      <w:r>
        <w:rPr>
          <w:b/>
          <w:bCs/>
          <w:color w:val="1E2430"/>
          <w:sz w:val="21"/>
          <w:szCs w:val="21"/>
        </w:rPr>
        <w:t xml:space="preserve">Handed over with this note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b/>
          <w:bCs/>
          <w:color w:val="1E2430"/>
          <w:sz w:val="19"/>
          <w:szCs w:val="19"/>
        </w:rPr>
        <w:t xml:space="preserve">User Guide </w:t>
      </w:r>
      <w:r>
        <w:rPr>
          <w:color w:val="1E2430"/>
          <w:sz w:val="19"/>
          <w:szCs w:val="19"/>
        </w:rPr>
        <w:t xml:space="preserve">— printed and as a Word file. Keep a copy at the counter.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b/>
          <w:bCs/>
          <w:color w:val="1E2430"/>
          <w:sz w:val="19"/>
          <w:szCs w:val="19"/>
        </w:rPr>
        <w:t xml:space="preserve">Payment QR and UPI ID </w:t>
      </w:r>
      <w:r>
        <w:rPr>
          <w:color w:val="1E2430"/>
          <w:sz w:val="19"/>
          <w:szCs w:val="19"/>
        </w:rPr>
        <w:t xml:space="preserve">configured in Settings / Payment, with a test order placed end to end.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b/>
          <w:bCs/>
          <w:color w:val="1E2430"/>
          <w:sz w:val="19"/>
          <w:szCs w:val="19"/>
        </w:rPr>
        <w:t xml:space="preserve">Product catalogue </w:t>
      </w:r>
      <w:r>
        <w:rPr>
          <w:color w:val="1E2430"/>
          <w:sz w:val="19"/>
          <w:szCs w:val="19"/>
        </w:rPr>
        <w:t xml:space="preserve">loaded from the price list you supplied.</w:t>
      </w:r>
    </w:p>
    <w:p>
      <w:pPr>
        <w:pBdr>
          <w:left w:val="single" w:color="B01C3E" w:sz="18" w:space="10"/>
        </w:pBdr>
        <w:shd w:fill="FDF2F5" w:color="auto" w:val="clear"/>
        <w:spacing w:after="110" w:before="100" w:line="240"/>
        <w:ind w:left="170" w:right="170"/>
      </w:pPr>
      <w:r>
        <w:rPr>
          <w:b/>
          <w:bCs/>
          <w:color w:val="B01C3E"/>
          <w:sz w:val="19"/>
          <w:szCs w:val="19"/>
        </w:rPr>
        <w:t xml:space="preserve">Before going live:  </w:t>
      </w:r>
      <w:r>
        <w:rPr>
          <w:color w:val="1E2430"/>
          <w:sz w:val="19"/>
          <w:szCs w:val="19"/>
        </w:rPr>
        <w:t xml:space="preserve">the stock quantity on every item is a placeholder, not a real count. Do a physical count and correct each item (Inventory → open the item → Adjust stock) before billing a single customer. Skip this and every stock figure, profit number and reorder alert stays wrong.</w:t>
      </w:r>
    </w:p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6  </w:t>
      </w:r>
      <w:r>
        <w:rPr>
          <w:b/>
          <w:bCs/>
          <w:color w:val="1E2430"/>
          <w:sz w:val="21"/>
          <w:szCs w:val="21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b/>
          <w:bCs/>
          <w:color w:val="1E2430"/>
          <w:sz w:val="19"/>
          <w:szCs w:val="19"/>
        </w:rPr>
        <w:t xml:space="preserve">Prices and brands are yours. </w:t>
      </w:r>
      <w:r>
        <w:rPr>
          <w:color w:val="1E2430"/>
          <w:sz w:val="19"/>
          <w:szCs w:val="19"/>
        </w:rPr>
        <w:t xml:space="preserve">Nothing is locked. Change them in Purchases → Edit Item Details and Edit Purchase.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1E2430"/>
          <w:sz w:val="19"/>
          <w:szCs w:val="19"/>
        </w:rPr>
        <w:t xml:space="preserve">All brake pads were removed from the catalogue as agreed. They can be added back as new items whenever you want.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b/>
          <w:bCs/>
          <w:color w:val="1E2430"/>
          <w:sz w:val="19"/>
          <w:szCs w:val="19"/>
        </w:rPr>
        <w:t xml:space="preserve">Stock and backups look after themselves. </w:t>
      </w:r>
      <w:r>
        <w:rPr>
          <w:color w:val="1E2430"/>
          <w:sz w:val="19"/>
          <w:szCs w:val="19"/>
        </w:rPr>
        <w:t xml:space="preserve">Stock comes down when a sale is saved, a service job is completed, or an online order is dispatched — never before. The database is backed up automatically; no action needed from you.</w:t>
      </w:r>
    </w:p>
    <w:p>
      <w:pPr>
        <w:pBdr>
          <w:bottom w:val="single" w:color="D8DCE3" w:sz="6"/>
        </w:pBdr>
        <w:spacing w:after="60" w:before="118"/>
      </w:pPr>
      <w:r>
        <w:rPr>
          <w:b/>
          <w:bCs/>
          <w:color w:val="B01C3E"/>
          <w:sz w:val="21"/>
          <w:szCs w:val="21"/>
        </w:rPr>
        <w:t xml:space="preserve">7  </w:t>
      </w:r>
      <w:r>
        <w:rPr>
          <w:b/>
          <w:bCs/>
          <w:color w:val="1E2430"/>
          <w:sz w:val="21"/>
          <w:szCs w:val="21"/>
        </w:rPr>
        <w:t xml:space="preserve">Support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1"/>
        <w:gridCol w:w="7143"/>
      </w:tblGrid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Support period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e.g. 30 days from the handover date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What is included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e.g. fixing faults in what was delivered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What is charged extra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e.g. new features, training beyond handover</w:t>
            </w:r>
          </w:p>
        </w:tc>
      </w:tr>
      <w:tr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6"/>
              <w:left w:type="dxa" w:w="0"/>
              <w:bottom w:type="dxa" w:w="46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Contact</w:t>
            </w:r>
          </w:p>
        </w:tc>
        <w:tc>
          <w:tcPr>
            <w:tcW w:type="dxa" w:w="7143"/>
            <w:tcBorders>
              <w:top w:val="none" w:color="FFFFFF" w:sz="0"/>
              <w:left w:val="none" w:color="FFFFFF" w:sz="0"/>
              <w:bottom w:val="single" w:color="D8DCE3" w:sz="6"/>
              <w:right w:val="none" w:color="FFFFFF" w:sz="0"/>
            </w:tcBorders>
            <w:shd w:fill="FFFFFF" w:color="auto" w:val="clear"/>
            <w:tcMar>
              <w:top w:type="dxa" w:w="46"/>
              <w:left w:type="dxa" w:w="120"/>
              <w:bottom w:type="dxa" w:w="46"/>
              <w:right w:type="dxa" w:w="0"/>
            </w:tcMar>
          </w:tcPr>
          <w:p>
            <w:pPr>
              <w:spacing w:after="0"/>
            </w:pPr>
            <w:r>
              <w:rPr>
                <w:i/>
                <w:iCs/>
                <w:color w:val="AEB5BF"/>
                <w:sz w:val="19"/>
                <w:szCs w:val="19"/>
              </w:rPr>
              <w:t xml:space="preserve">name / phone / email</w:t>
            </w:r>
          </w:p>
        </w:tc>
      </w:tr>
    </w:tbl>
    <w:p>
      <w:pPr>
        <w:spacing w:before="9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2"/>
        <w:gridCol w:w="5302"/>
      </w:tblGrid>
      <w:tr>
        <w:trPr>
          <w:cantSplit/>
        </w:trPr>
        <w:tc>
          <w:tcPr>
            <w:tcW w:type="dxa" w:w="4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2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Handed over by (developer)</w:t>
            </w:r>
          </w:p>
          <w:p>
            <w:pPr>
              <w:pBdr>
                <w:bottom w:val="single" w:color="1E2430" w:sz="6"/>
              </w:pBdr>
              <w:spacing w:after="6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color w:val="5B6472"/>
                <w:sz w:val="17"/>
                <w:szCs w:val="17"/>
              </w:rPr>
              <w:t xml:space="preserve">Name, signature and date</w:t>
            </w:r>
          </w:p>
        </w:tc>
        <w:tc>
          <w:tcPr>
            <w:tcW w:type="dxa" w:w="4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20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Received by (Twinspark)</w:t>
            </w:r>
          </w:p>
          <w:p>
            <w:pPr>
              <w:pBdr>
                <w:bottom w:val="single" w:color="1E2430" w:sz="6"/>
              </w:pBdr>
              <w:spacing w:after="60"/>
            </w:pPr>
            <w:r>
              <w:rPr>
                <w:color w:val="1E2430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color w:val="5B6472"/>
                <w:sz w:val="17"/>
                <w:szCs w:val="17"/>
              </w:rPr>
              <w:t xml:space="preserve">Name, signature and date</w:t>
            </w:r>
          </w:p>
        </w:tc>
      </w:tr>
    </w:tbl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Twinspark GMS — Handover Note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43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Twinspark GMS — Handover Note</dc:title>
  <dc:creator>Twinspark Garage Management System</dc:creator>
  <dc:description>Handover checklist and sign-off for the Twinspark Garage Management System</dc:description>
  <cp:lastModifiedBy>Un-named</cp:lastModifiedBy>
  <cp:revision>1</cp:revision>
  <dcterms:created xsi:type="dcterms:W3CDTF">2026-08-28T02:24:58.516Z</dcterms:created>
  <dcterms:modified xsi:type="dcterms:W3CDTF">2026-08-28T02:24:58.516Z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