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A365D"/>
          <w:sz w:val="52"/>
        </w:rPr>
        <w:t>BATTERYGUARDIAN AI</w:t>
      </w:r>
    </w:p>
    <w:p>
      <w:pPr>
        <w:spacing w:before="0" w:after="280"/>
      </w:pPr>
      <w:r>
        <w:rPr>
          <w:color w:val="2B6CB0"/>
          <w:sz w:val="27"/>
        </w:rPr>
        <w:t>Hardware Specifications, Firmware Analysis &amp; End-to-End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B0"/>
            </w:tcBorders>
          </w:tcPr>
          <w:p>
            <w:pPr>
              <w:spacing w:after="0"/>
            </w:pPr>
            <w:r>
              <w:rPr>
                <w:b/>
              </w:rPr>
              <w:t xml:space="preserve">Hardware Prototype: </w:t>
            </w:r>
            <w:r>
              <w:t>3S1P IMR-18650 Li-ion (11.1V / 1200mAh) + ESP32 Node</w:t>
              <w:br/>
            </w:r>
            <w:r>
              <w:rPr>
                <w:b/>
              </w:rPr>
              <w:t xml:space="preserve">Discharge Load: </w:t>
            </w:r>
            <w:r>
              <w:t>100Ω 50W Wirewound Resistor (C/10 Controlled Discharge, 1.59W max)</w:t>
              <w:br/>
            </w:r>
            <w:r>
              <w:rPr>
                <w:b/>
              </w:rPr>
              <w:t xml:space="preserve">Sensors &amp; ADC: </w:t>
            </w:r>
            <w:r>
              <w:t>100kΩ/33kΩ Dividers (0.2481 ratio) + 100nF RC Filter, INA219, DS18B20 1-Wire</w:t>
              <w:br/>
            </w:r>
            <w:r>
              <w:rPr>
                <w:b/>
              </w:rPr>
              <w:t xml:space="preserve">Software Architecture: </w:t>
            </w:r>
            <w:r>
              <w:t>ESP32 BLE GATT → Flutter (SQLite) → FastAPI REST → Public-Dataset ML (NASA PCoE)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1A365D"/>
          <w:sz w:val="32"/>
        </w:rPr>
        <w:t>1. BatteryGuardian Hardware Baseline &amp; Specifications</w:t>
      </w:r>
    </w:p>
    <w:p>
      <w:pPr>
        <w:spacing w:before="0" w:after="160"/>
        <w:pBdr>
          <w:bottom w:val="single" w:sz="6" w:space="1" w:color="2B6CB0"/>
        </w:pBdr>
      </w:pPr>
    </w:p>
    <w:p>
      <w:r>
        <w:t>The physical prototype is engineered specifically for repeatable, stable lithium-ion degradation telemetry without thermal drift or ADC saturation: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Subsystem / Parameter</w:t>
            </w:r>
          </w:p>
        </w:tc>
        <w:tc>
          <w:tcPr>
            <w:tcW w:type="dxa" w:w="312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Physical Specification</w:t>
            </w:r>
          </w:p>
        </w:tc>
        <w:tc>
          <w:tcPr>
            <w:tcW w:type="dxa" w:w="3120"/>
            <w:shd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Design Rationale &amp; Impact on ML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Battery Pack Configuration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3S1P IMR-18650 Li-ion Cells</w:t>
              <w:br/>
              <w:t>Nominal: 11.1V (3x3.7V), 1200 mAh (13.32 Wh)</w:t>
              <w:br/>
              <w:t>Full Charge: 12.6V (4.2V/cell)</w:t>
              <w:br/>
              <w:t>Discharge Cutoff: 9.0V (3.0V/cell)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High-current Li-ion chemistry with a linear discharge slope suitable for capacity tracking and SoH estimation.</w:t>
            </w:r>
          </w:p>
        </w:tc>
      </w:tr>
      <w:tr>
        <w:tc>
          <w:tcPr>
            <w:tcW w:type="dxa" w:w="312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Discharge Load Resistor</w:t>
            </w:r>
          </w:p>
        </w:tc>
        <w:tc>
          <w:tcPr>
            <w:tcW w:type="dxa" w:w="312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100Ω, 50W Aluminum-Housed Wirewound</w:t>
              <w:br/>
              <w:t>Current Draw: 126 mA (12.6V) to 90 mA (9.0V)</w:t>
              <w:br/>
              <w:t>Power Dissipation: 1.587W max</w:t>
              <w:br/>
              <w:t>Discharge Time: ~9.5 – 10.0 Hours</w:t>
            </w:r>
          </w:p>
        </w:tc>
        <w:tc>
          <w:tcPr>
            <w:tcW w:type="dxa" w:w="312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Running a 1.59W load on a 50W rated heatsink yields a &gt;30x safety margin. Thermal drift is virtually zero, ensuring exceptionally pure voltage curves for ML feature extraction.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Voltage Divider Network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Top Resistor: 100kΩ</w:t>
              <w:br/>
              <w:t>Bottom Resistor: 33kΩ</w:t>
              <w:br/>
              <w:t>Divider Ratio: 33 / 133 = 0.24812</w:t>
              <w:br/>
              <w:t>Max Input Voltage: 12.6V x 0.24812 = 3.126V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Pins 34 (Tap 1), 35 (Tap 2), 32 (Tap 3). Scaled perfectly below the 3.3V ESP32 ADC maximum limit with high impedance to minimize quiescent drain.</w:t>
            </w:r>
          </w:p>
        </w:tc>
      </w:tr>
      <w:tr>
        <w:tc>
          <w:tcPr>
            <w:tcW w:type="dxa" w:w="312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Hardware RC Low-Pass Filter</w:t>
            </w:r>
          </w:p>
        </w:tc>
        <w:tc>
          <w:tcPr>
            <w:tcW w:type="dxa" w:w="312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100nF Ceramic Capacitor in parallel with each 33kΩ bottom resistor</w:t>
              <w:br/>
              <w:t>Cutoff Frequency: fc ≈ 48.2 Hz</w:t>
            </w:r>
          </w:p>
        </w:tc>
        <w:tc>
          <w:tcPr>
            <w:tcW w:type="dxa" w:w="3120"/>
            <w:shd w:fill="EDF2F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Hardware-level anti-aliasing filter attenuates high-frequency switching noise and ADC sampling glitches before digital processing.</w:t>
            </w:r>
          </w:p>
        </w:tc>
      </w:tr>
      <w:tr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Temperature &amp; Current Sensors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DS18B20 1-Wire Digital Probes (GPIO 4 with 4.2kΩ/4.7kΩ pull-up)</w:t>
              <w:br/>
              <w:t>INA219 I2C High-Side Current Sensor (GPIO 21/22, 0.1Ω Shunt, ±3.2A)</w:t>
            </w:r>
          </w:p>
        </w:tc>
        <w:tc>
          <w:tcPr>
            <w:tcW w:type="dxa" w:w="3120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CBD5E0"/>
            </w:tcBorders>
          </w:tcPr>
          <w:p>
            <w:pPr>
              <w:spacing w:after="0"/>
            </w:pPr>
            <w:r>
              <w:rPr>
                <w:sz w:val="17"/>
              </w:rPr>
              <w:t>Multi-point cell surface temperature tracking without analog ADC drift; bidirectional current monitoring with 0.8mA resolution.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A365D"/>
          <w:sz w:val="32"/>
        </w:rPr>
        <w:t>2. Firmware Code Inspection &amp; Audit</w:t>
      </w:r>
    </w:p>
    <w:p>
      <w:pPr>
        <w:spacing w:before="0" w:after="160"/>
        <w:pBdr>
          <w:bottom w:val="single" w:sz="6" w:space="1" w:color="2B6CB0"/>
        </w:pBdr>
      </w:pPr>
    </w:p>
    <w:p>
      <w:r>
        <w:t>A detailed analysis of the existing Stage 11 test firmware reveals strong foundations alongside key areas requiring upgrade for startup-level production:</w:t>
      </w:r>
    </w:p>
    <w:p>
      <w:pPr>
        <w:spacing w:after="60"/>
        <w:ind w:left="288"/>
      </w:pPr>
      <w:r>
        <w:rPr>
          <w:b/>
          <w:color w:val="2B6CB0"/>
        </w:rPr>
        <w:t xml:space="preserve">• Working Pin Configurations: </w:t>
      </w:r>
      <w:r>
        <w:t>GPIO 21 (SDA) &amp; 22 (SCL) for I2C (OLED &amp; INA219); GPIO 4 for DS18B20 1-Wire; GPIO 34, 35, 32 for differential cell ADC sensing.</w:t>
      </w:r>
    </w:p>
    <w:p>
      <w:pPr>
        <w:spacing w:after="60"/>
        <w:ind w:left="288"/>
      </w:pPr>
      <w:r>
        <w:rPr>
          <w:b/>
          <w:color w:val="2B6CB0"/>
        </w:rPr>
        <w:t xml:space="preserve">• Divider Constant Alignment: </w:t>
      </w:r>
      <w:r>
        <w:t>The legacy code used R_TOP=33k / R_BOTTOM=10k (0.2325). The firmware must be calibrated to the actual hardware: R_TOP=100k / R_BOTTOM=33k (Ratio = 0.24812).</w:t>
      </w:r>
    </w:p>
    <w:p>
      <w:pPr>
        <w:spacing w:after="60"/>
        <w:ind w:left="288"/>
      </w:pPr>
      <w:r>
        <w:rPr>
          <w:b/>
          <w:color w:val="2B6CB0"/>
        </w:rPr>
        <w:t xml:space="preserve">• Differential Node Voltage Math: </w:t>
      </w:r>
      <w:r>
        <w:t>Cell 1 = V_node1; Cell 2 = V_node2 - V_node1; Cell 3 = V_node3 - V_node2. Correctly handles the 3S series voltage ladder.</w:t>
      </w:r>
    </w:p>
    <w:p>
      <w:pPr>
        <w:spacing w:after="60"/>
        <w:ind w:left="288"/>
      </w:pPr>
      <w:r>
        <w:rPr>
          <w:b/>
          <w:color w:val="2B6CB0"/>
        </w:rPr>
        <w:t xml:space="preserve">• Blocking Delay Elimination: </w:t>
      </w:r>
      <w:r>
        <w:t>The legacy loop used a blocking delay(2000). For reliable BLE transmission and responsive OLED UI, this will be replaced with non-blocking millis() task scheduling.</w:t>
      </w:r>
    </w:p>
    <w:p>
      <w:pPr>
        <w:spacing w:after="60"/>
        <w:ind w:left="288"/>
      </w:pPr>
      <w:r>
        <w:rPr>
          <w:b/>
          <w:color w:val="2B6CB0"/>
        </w:rPr>
        <w:t xml:space="preserve">• BLE GATT Server Integration: </w:t>
      </w:r>
      <w:r>
        <w:t>The existing test code lacks BLE. We will inject the BLE GATT Server stack with periodic JSON notifications (&lt;180 bytes) on characteristic beb5483e-36e1-4688-b7f5-ea07361b26a8.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3. Real-Time Telemetry Protocol Specification</w:t>
      </w:r>
    </w:p>
    <w:p>
      <w:pPr>
        <w:spacing w:before="0" w:after="160"/>
        <w:pBdr>
          <w:bottom w:val="single" w:sz="6" w:space="1" w:color="2B6CB0"/>
        </w:pBdr>
      </w:pPr>
    </w:p>
    <w:p>
      <w:r>
        <w:t>Structured JSON telemetry payload emitted by the ESP32 every 1000ms: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68D391"/>
                <w:sz w:val="19"/>
              </w:rPr>
              <w:t>{</w:t>
              <w:br/>
              <w:t xml:space="preserve">  "ts": 1725201600,</w:t>
              <w:br/>
              <w:t xml:space="preserve">  "c1": 4.120,</w:t>
              <w:br/>
              <w:t xml:space="preserve">  "c2": 4.085,</w:t>
              <w:br/>
              <w:t xml:space="preserve">  "c3": 4.032,</w:t>
              <w:br/>
              <w:t xml:space="preserve">  "v_pack": 12.237,</w:t>
              <w:br/>
              <w:t xml:space="preserve">  "curr": 0.122,</w:t>
              <w:br/>
              <w:t xml:space="preserve">  "t1": 28.5,</w:t>
              <w:br/>
              <w:t xml:space="preserve">  "t2": 28.7,</w:t>
              <w:br/>
              <w:t xml:space="preserve">  "t3": 29.1,</w:t>
              <w:br/>
              <w:t xml:space="preserve">  "imb": 0.088,</w:t>
              <w:br/>
              <w:t xml:space="preserve">  "state": "DISCHARGE",</w:t>
              <w:br/>
              <w:t xml:space="preserve">  "cycle": 1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b/>
          <w:color w:val="1A365D"/>
          <w:sz w:val="32"/>
        </w:rPr>
        <w:t>4. Public Battery Dataset Strategy (NASA Ames PCoE)</w:t>
      </w:r>
    </w:p>
    <w:p>
      <w:pPr>
        <w:spacing w:before="0" w:after="160"/>
        <w:pBdr>
          <w:bottom w:val="single" w:sz="6" w:space="1" w:color="2B6CB0"/>
        </w:pBdr>
      </w:pPr>
    </w:p>
    <w:p>
      <w:r>
        <w:t>To ensure scientific validity without fabricating artificial degradation data, ML models (SoH Regressor &amp; RUL Estimator) are trained on the benchmark NASA Ames Prognostics Center of Excellence (PCoE) Li-ion aging dataset (B. Saha &amp; K. Goebel, 2007).</w:t>
      </w:r>
    </w:p>
    <w:p>
      <w:r>
        <w:rPr>
          <w:b/>
        </w:rPr>
        <w:t>• True State of Health (SoH):</w:t>
        <w:br/>
      </w:r>
      <w:r>
        <w:t xml:space="preserve">  SoH_k = (Measured Discharge Capacity_k / Nominal Rated Capacity [1.20 Ah]) × 100%</w:t>
        <w:br/>
      </w:r>
      <w:r>
        <w:rPr>
          <w:b/>
        </w:rPr>
        <w:t>• True Remaining Useful Life (RUL):</w:t>
        <w:br/>
      </w:r>
      <w:r>
        <w:t xml:space="preserve">  RUL_k = Cycle_EOL - Cycle_k (where EOL is reached at 80% capacity retention, i.e., 0.96 Ah).</w:t>
      </w:r>
    </w:p>
    <w:p>
      <w:pPr>
        <w:keepNext/>
        <w:spacing w:before="360" w:after="120"/>
      </w:pPr>
      <w:r>
        <w:rPr>
          <w:b/>
          <w:color w:val="1A365D"/>
          <w:sz w:val="32"/>
        </w:rPr>
        <w:t>5. Milestone 1 Deliverables &amp; Verification</w:t>
      </w:r>
    </w:p>
    <w:p>
      <w:pPr>
        <w:spacing w:before="0" w:after="160"/>
        <w:pBdr>
          <w:bottom w:val="single" w:sz="6" w:space="1" w:color="2B6CB0"/>
        </w:pBdr>
      </w:pPr>
    </w:p>
    <w:p>
      <w:pPr>
        <w:spacing w:after="60"/>
        <w:ind w:left="288"/>
      </w:pPr>
      <w:r>
        <w:rPr>
          <w:b/>
          <w:color w:val="2B6CB0"/>
        </w:rPr>
        <w:t xml:space="preserve">• Modular Firmware Scaffolding: </w:t>
      </w:r>
      <w:r>
        <w:t>Scaffold firmware/esp32/ with modular files: config.h, sensors.h, ble_service.h, oled_ui.h, main.cpp.</w:t>
      </w:r>
    </w:p>
    <w:p>
      <w:pPr>
        <w:spacing w:after="60"/>
        <w:ind w:left="288"/>
      </w:pPr>
      <w:r>
        <w:rPr>
          <w:b/>
          <w:color w:val="2B6CB0"/>
        </w:rPr>
        <w:t xml:space="preserve">• 100k/33k Divider &amp; RC Filtering: </w:t>
      </w:r>
      <w:r>
        <w:t>Implement precise 0.24812 divider ratio, 16-sample rolling average, and ESP32 ADC characterization curve.</w:t>
      </w:r>
    </w:p>
    <w:p>
      <w:pPr>
        <w:spacing w:after="60"/>
        <w:ind w:left="288"/>
      </w:pPr>
      <w:r>
        <w:rPr>
          <w:b/>
          <w:color w:val="2B6CB0"/>
        </w:rPr>
        <w:t xml:space="preserve">• DS18B20 Multi-Probe Driver: </w:t>
      </w:r>
      <w:r>
        <w:t>Robust 1-Wire scan and non-blocking asynchronous temperature reading for up to 3 individual cell probes.</w:t>
      </w:r>
    </w:p>
    <w:p>
      <w:pPr>
        <w:spacing w:after="60"/>
        <w:ind w:left="288"/>
      </w:pPr>
      <w:r>
        <w:rPr>
          <w:b/>
          <w:color w:val="2B6CB0"/>
        </w:rPr>
        <w:t xml:space="preserve">• INA219 Current &amp; Energy Integrator: </w:t>
      </w:r>
      <w:r>
        <w:t>Continuous current monitoring and trapezoidal numerical integration for Ah/Wh tracking during discharge.</w:t>
      </w:r>
    </w:p>
    <w:p>
      <w:pPr>
        <w:spacing w:after="60"/>
        <w:ind w:left="288"/>
      </w:pPr>
      <w:r>
        <w:rPr>
          <w:b/>
          <w:color w:val="2B6CB0"/>
        </w:rPr>
        <w:t xml:space="preserve">• SSD1306 Real-Time OLED Dashboard: </w:t>
      </w:r>
      <w:r>
        <w:t>Structured 4-row layout: Pack V, Current, C1/C2/C3 voltages, temperatures, and BLE connection status icon.</w:t>
      </w:r>
    </w:p>
    <w:p>
      <w:pPr>
        <w:spacing w:after="60"/>
        <w:ind w:left="288"/>
      </w:pPr>
      <w:r>
        <w:rPr>
          <w:b/>
          <w:color w:val="2B6CB0"/>
        </w:rPr>
        <w:t xml:space="preserve">• BLE GATT Server &amp; Notifications: </w:t>
      </w:r>
      <w:r>
        <w:t>Custom Service UUID 4fafc201... with Telemetry Notify Characteristic beb5483e... broadcasting valid JSON every 1000ms.</w:t>
      </w:r>
    </w:p>
    <w:p>
      <w:pPr>
        <w:spacing w:after="60"/>
        <w:ind w:left="288"/>
      </w:pPr>
      <w:r>
        <w:rPr>
          <w:b/>
          <w:color w:val="2B6CB0"/>
        </w:rPr>
        <w:t xml:space="preserve">• Unit Tests &amp; Hardware Documentation: </w:t>
      </w:r>
      <w:r>
        <w:t>Complete docs/hardware.md with wiring schematics and automated Python simulation tests verifying parser integrity.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