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A2B4A"/>
          <w:sz w:val="40"/>
          <w:szCs w:val="40"/>
        </w:rPr>
        <w:t xml:space="preserve">AquaIntel — Technical Feasibility Report</w:t>
      </w:r>
    </w:p>
    <w:p>
      <w:pPr>
        <w:spacing w:after="60" w:before="0"/>
        <w:jc w:val="center"/>
      </w:pPr>
      <w:r>
        <w:rPr>
          <w:color w:val="5D6D7E"/>
          <w:sz w:val="20"/>
          <w:szCs w:val="20"/>
        </w:rPr>
        <w:t xml:space="preserve">DECODE SIH 2026 | Nova Syndicate | Prepared: August 2026</w:t>
      </w:r>
    </w:p>
    <w:p>
      <w:pPr>
        <w:spacing w:after="240" w:before="0"/>
        <w:jc w:val="center"/>
      </w:pPr>
      <w:r>
        <w:rPr>
          <w:b/>
          <w:bCs/>
          <w:color w:val="2471A3"/>
          <w:sz w:val="22"/>
          <w:szCs w:val="22"/>
        </w:rPr>
        <w:t xml:space="preserve">PS3: Disaster Response Intelligence Platform</w:t>
      </w:r>
    </w:p>
    <w:p>
      <w:pPr>
        <w:pBdr>
          <w:bottom w:val="single" w:color="CCCCCC" w:sz="6"/>
        </w:pBdr>
        <w:spacing w:after="120" w:before="120"/>
      </w:pPr>
      <w:r>
        <w:t xml:space="preserve"/>
      </w:r>
    </w:p>
    <w:p>
      <w:pPr>
        <w:pStyle w:val="Heading1"/>
        <w:spacing w:after="120" w:before="360"/>
      </w:pPr>
      <w:r>
        <w:rPr>
          <w:b/>
          <w:bCs/>
          <w:color w:val="1A2B4A"/>
          <w:sz w:val="28"/>
          <w:szCs w:val="28"/>
        </w:rPr>
        <w:t xml:space="preserve">1. Executive Summary</w:t>
      </w:r>
    </w:p>
    <w:p>
      <w:pPr>
        <w:spacing w:after="60" w:before="60"/>
      </w:pPr>
      <w:r>
        <w:rPr>
          <w:b/>
          <w:bCs/>
          <w:sz w:val="20"/>
          <w:szCs w:val="20"/>
        </w:rPr>
        <w:t xml:space="preserve">AquaIntel is technically feasible for an MVP within the SIH 2026 hackathon timeframe.</w:t>
      </w:r>
      <w:r>
        <w:rPr>
          <w:sz w:val="20"/>
          <w:szCs w:val="20"/>
        </w:rPr>
        <w:t xml:space="preserve"> The core prediction engine (XGBoost + SHAP), GIS stack (PostGIS + Leaflet), and alert system (Firebase push) can all be built using freely available tools and open data. However, three significant risks require immediate mitigation planning:</w:t>
      </w:r>
    </w:p>
    <w:p>
      <w:pPr>
        <w:pStyle w:val="ListParagraph"/>
        <w:numPr>
          <w:ilvl w:val="0"/>
          <w:numId w:val="1"/>
        </w:numPr>
        <w:spacing w:after="40" w:before="40"/>
      </w:pPr>
      <w:r>
        <w:rPr>
          <w:b w:val="false"/>
          <w:bCs w:val="false"/>
          <w:color w:val="000000"/>
          <w:sz w:val="20"/>
          <w:szCs w:val="20"/>
        </w:rPr>
        <w:t xml:space="preserve">IMD API access requires IP whitelisting and registrations are temporarily paused — fallback sources needed.</w:t>
      </w:r>
    </w:p>
    <w:p>
      <w:pPr>
        <w:pStyle w:val="ListParagraph"/>
        <w:numPr>
          <w:ilvl w:val="0"/>
          <w:numId w:val="1"/>
        </w:numPr>
        <w:spacing w:after="40" w:before="40"/>
      </w:pPr>
      <w:r>
        <w:rPr>
          <w:b w:val="false"/>
          <w:bCs w:val="false"/>
          <w:color w:val="000000"/>
          <w:sz w:val="20"/>
          <w:szCs w:val="20"/>
        </w:rPr>
        <w:t xml:space="preserve">MeshLink (Bluetooth mesh) is a concept-only feature; it cannot be realistically demonstrated as a working system in hackathon scope.</w:t>
      </w:r>
    </w:p>
    <w:p>
      <w:pPr>
        <w:pStyle w:val="ListParagraph"/>
        <w:numPr>
          <w:ilvl w:val="0"/>
          <w:numId w:val="1"/>
        </w:numPr>
        <w:spacing w:after="40" w:before="40"/>
      </w:pPr>
      <w:r>
        <w:rPr>
          <w:b w:val="false"/>
          <w:bCs w:val="false"/>
          <w:color w:val="000000"/>
          <w:sz w:val="20"/>
          <w:szCs w:val="20"/>
        </w:rPr>
        <w:t xml:space="preserve">Real-time CWC river data has no public REST API — web scraping is the only viable path, which is fragile.</w:t>
      </w:r>
    </w:p>
    <w:p>
      <w:pPr>
        <w:spacing w:after="60" w:before="60"/>
      </w:pPr>
      <w:r>
        <w:rPr>
          <w:b/>
          <w:bCs/>
          <w:sz w:val="20"/>
          <w:szCs w:val="20"/>
        </w:rPr>
        <w:t xml:space="preserve">Overall Build Difficulty: </w:t>
      </w:r>
      <w:r>
        <w:rPr>
          <w:sz w:val="20"/>
          <w:szCs w:val="20"/>
        </w:rPr>
        <w:t xml:space="preserve">Medium-High. The core platform is buildable; MeshLink and the digital twin are stretch features.</w:t>
      </w:r>
    </w:p>
    <w:p>
      <w:pPr>
        <w:pBdr>
          <w:bottom w:val="single" w:color="CCCCCC" w:sz="6"/>
        </w:pBdr>
        <w:spacing w:after="120" w:before="120"/>
      </w:pPr>
      <w:r>
        <w:t xml:space="preserve"/>
      </w:r>
    </w:p>
    <w:p>
      <w:pPr>
        <w:pStyle w:val="Heading1"/>
        <w:spacing w:after="120" w:before="360"/>
      </w:pPr>
      <w:r>
        <w:rPr>
          <w:b/>
          <w:bCs/>
          <w:color w:val="1A2B4A"/>
          <w:sz w:val="28"/>
          <w:szCs w:val="28"/>
        </w:rPr>
        <w:t xml:space="preserve">2. Recommended Data Sources</w:t>
      </w:r>
    </w:p>
    <w:p>
      <w:pPr>
        <w:pStyle w:val="Heading2"/>
        <w:spacing w:after="80" w:before="240"/>
      </w:pPr>
      <w:r>
        <w:rPr>
          <w:b/>
          <w:bCs/>
          <w:color w:val="2471A3"/>
          <w:sz w:val="24"/>
          <w:szCs w:val="24"/>
        </w:rPr>
        <w:t xml:space="preserve">2.1 Weather / Rainfall Data</w:t>
      </w:r>
    </w:p>
    <w:p>
      <w:pPr>
        <w:spacing w:after="40" w:before="40"/>
      </w:pPr>
      <w:r>
        <w:rPr>
          <w:b/>
          <w:bCs/>
          <w:sz w:val="20"/>
          <w:szCs w:val="20"/>
        </w:rPr>
        <w:t xml:space="preserve">IMD Forecast API (api.imd.gov.in): </w:t>
      </w:r>
      <w:r>
        <w:rPr>
          <w:b/>
          <w:bCs/>
          <w:color w:val="D35400"/>
          <w:sz w:val="20"/>
          <w:szCs w:val="20"/>
        </w:rPr>
        <w:t xml:space="preserve">⚠️ Restricted</w:t>
      </w:r>
    </w:p>
    <w:p>
      <w:pPr>
        <w:spacing w:after="60" w:before="60"/>
      </w:pPr>
      <w:r>
        <w:rPr>
          <w:sz w:val="20"/>
          <w:szCs w:val="20"/>
        </w:rPr>
        <w:t xml:space="preserve">IMD provides a comprehensive API covering city forecasts, district rainfall, nowcasts, warnings, river basin QPF, and more. However, new registrations are currently on hold due to a new pricing policy rollout, and access requires IP whitelisting — which is incompatible with serverless deployments (Vercel/Railway). Attribution to IMD is mandatory.</w:t>
      </w:r>
    </w:p>
    <w:p>
      <w:pPr>
        <w:pStyle w:val="ListParagraph"/>
        <w:numPr>
          <w:ilvl w:val="0"/>
          <w:numId w:val="1"/>
        </w:numPr>
        <w:spacing w:after="40" w:before="40"/>
      </w:pPr>
      <w:r>
        <w:rPr>
          <w:b w:val="false"/>
          <w:bCs w:val="false"/>
          <w:color w:val="000000"/>
          <w:sz w:val="20"/>
          <w:szCs w:val="20"/>
        </w:rPr>
        <w:t xml:space="preserve">Action: Contact IMD API team directly at akhil.srivastava@imd.gov.in — SIH teams may get expedited access.</w:t>
      </w:r>
    </w:p>
    <w:p>
      <w:pPr>
        <w:pStyle w:val="ListParagraph"/>
        <w:numPr>
          <w:ilvl w:val="0"/>
          <w:numId w:val="1"/>
        </w:numPr>
        <w:spacing w:after="40" w:before="40"/>
      </w:pPr>
      <w:r>
        <w:rPr>
          <w:b w:val="false"/>
          <w:bCs w:val="false"/>
          <w:color w:val="000000"/>
          <w:sz w:val="20"/>
          <w:szCs w:val="20"/>
        </w:rPr>
        <w:t xml:space="preserve">Fallback #1: Open-Meteo (open-meteo.com) — free, no auth, hourly forecasts, 16-day ahead, covers India.</w:t>
      </w:r>
    </w:p>
    <w:p>
      <w:pPr>
        <w:pStyle w:val="ListParagraph"/>
        <w:numPr>
          <w:ilvl w:val="0"/>
          <w:numId w:val="1"/>
        </w:numPr>
        <w:spacing w:after="40" w:before="40"/>
      </w:pPr>
      <w:r>
        <w:rPr>
          <w:b w:val="false"/>
          <w:bCs w:val="false"/>
          <w:color w:val="000000"/>
          <w:sz w:val="20"/>
          <w:szCs w:val="20"/>
        </w:rPr>
        <w:t xml:space="preserve">Fallback #2: NASA GPM IMERG via NASA GES DISC — free, requires Earthdata login, 30-min / 0.1° resolution.</w:t>
      </w:r>
    </w:p>
    <w:p>
      <w:pPr>
        <w:pStyle w:val="ListParagraph"/>
        <w:numPr>
          <w:ilvl w:val="0"/>
          <w:numId w:val="1"/>
        </w:numPr>
        <w:spacing w:after="40" w:before="40"/>
      </w:pPr>
      <w:r>
        <w:rPr>
          <w:b w:val="false"/>
          <w:bCs w:val="false"/>
          <w:color w:val="000000"/>
          <w:sz w:val="20"/>
          <w:szCs w:val="20"/>
        </w:rPr>
        <w:t xml:space="preserve">Fallback #3: IMD gridded daily rainfall (0.25° resolution, 1901–present) available via india-geodata project on GitHub.</w:t>
      </w:r>
    </w:p>
    <w:p>
      <w:pPr>
        <w:spacing w:after="40" w:before="40"/>
      </w:pPr>
      <w:r>
        <w:rPr>
          <w:b/>
          <w:bCs/>
          <w:sz w:val="20"/>
          <w:szCs w:val="20"/>
        </w:rPr>
        <w:t xml:space="preserve">NASA GPM IMERG: </w:t>
      </w:r>
      <w:r>
        <w:rPr>
          <w:b/>
          <w:bCs/>
          <w:color w:val="1E8449"/>
          <w:sz w:val="20"/>
          <w:szCs w:val="20"/>
        </w:rPr>
        <w:t xml:space="preserve">✅ Available</w:t>
      </w:r>
    </w:p>
    <w:p>
      <w:pPr>
        <w:spacing w:after="60" w:before="60"/>
      </w:pPr>
      <w:r>
        <w:rPr>
          <w:sz w:val="20"/>
          <w:szCs w:val="20"/>
        </w:rPr>
        <w:t xml:space="preserve">Freely available with no per-request charge. Registration at NASA Earthdata is required. The Early Run product is available at 4-hour latency; the Final Run is research-grade but has 2-day latency. </w:t>
      </w:r>
      <w:r>
        <w:rPr>
          <w:b/>
          <w:bCs/>
          <w:sz w:val="20"/>
          <w:szCs w:val="20"/>
        </w:rPr>
        <w:t xml:space="preserve">Note:</w:t>
      </w:r>
      <w:r>
        <w:rPr>
          <w:sz w:val="20"/>
          <w:szCs w:val="20"/>
        </w:rPr>
        <w:t xml:space="preserve"> V07 Final Run data ends September 2025; V08 transition is underway with Fall 2026 expected release. Use Early/Late runs for real-time.</w:t>
      </w:r>
    </w:p>
    <w:p>
      <w:pPr>
        <w:pStyle w:val="Heading2"/>
        <w:spacing w:after="80" w:before="240"/>
      </w:pPr>
      <w:r>
        <w:rPr>
          <w:b/>
          <w:bCs/>
          <w:color w:val="2471A3"/>
          <w:sz w:val="24"/>
          <w:szCs w:val="24"/>
        </w:rPr>
        <w:t xml:space="preserve">2.2 River / Gauge Data</w:t>
      </w:r>
    </w:p>
    <w:p>
      <w:pPr>
        <w:spacing w:after="40" w:before="40"/>
      </w:pPr>
      <w:r>
        <w:rPr>
          <w:b/>
          <w:bCs/>
          <w:sz w:val="20"/>
          <w:szCs w:val="20"/>
        </w:rPr>
        <w:t xml:space="preserve">CWC India-WRIS (indiawris.gov.in): </w:t>
      </w:r>
      <w:r>
        <w:rPr>
          <w:b/>
          <w:bCs/>
          <w:color w:val="D35400"/>
          <w:sz w:val="20"/>
          <w:szCs w:val="20"/>
        </w:rPr>
        <w:t xml:space="preserve">⚠️ Restricted</w:t>
      </w:r>
    </w:p>
    <w:p>
      <w:pPr>
        <w:spacing w:after="60" w:before="60"/>
      </w:pPr>
      <w:r>
        <w:rPr>
          <w:sz w:val="20"/>
          <w:szCs w:val="20"/>
        </w:rPr>
        <w:t xml:space="preserve">India-WRIS provides daily historical water surface elevation and discharge data free of charge for unclassified rivers, but classified rivers (Ganga, Brahmaputra, Indus) have restrictions. Historical data goes up to 2020 with significant gaps. There is no public REST API — data access is through a WebGIS portal only.</w:t>
      </w:r>
    </w:p>
    <w:p>
      <w:pPr>
        <w:pStyle w:val="ListParagraph"/>
        <w:numPr>
          <w:ilvl w:val="0"/>
          <w:numId w:val="1"/>
        </w:numPr>
        <w:spacing w:after="40" w:before="40"/>
      </w:pPr>
      <w:r>
        <w:rPr>
          <w:b w:val="false"/>
          <w:bCs w:val="false"/>
          <w:color w:val="000000"/>
          <w:sz w:val="20"/>
          <w:szCs w:val="20"/>
        </w:rPr>
        <w:t xml:space="preserve">Action: Use web scraping of the CWC Flood Portal (as documented by the GUARDIAN research framework from Nature Scientific Data). This gives near-real-time water surface elevation for ~210 stations.</w:t>
      </w:r>
    </w:p>
    <w:p>
      <w:pPr>
        <w:pStyle w:val="ListParagraph"/>
        <w:numPr>
          <w:ilvl w:val="0"/>
          <w:numId w:val="1"/>
        </w:numPr>
        <w:spacing w:after="40" w:before="40"/>
      </w:pPr>
      <w:r>
        <w:rPr>
          <w:b w:val="false"/>
          <w:bCs w:val="false"/>
          <w:color w:val="000000"/>
          <w:sz w:val="20"/>
          <w:szCs w:val="20"/>
        </w:rPr>
        <w:t xml:space="preserve">Risk: Web scraping is fragile and could break if the portal's HTML structure changes.</w:t>
      </w:r>
    </w:p>
    <w:p>
      <w:pPr>
        <w:pStyle w:val="ListParagraph"/>
        <w:numPr>
          <w:ilvl w:val="0"/>
          <w:numId w:val="1"/>
        </w:numPr>
        <w:spacing w:after="40" w:before="40"/>
      </w:pPr>
      <w:r>
        <w:rPr>
          <w:b w:val="false"/>
          <w:bCs w:val="false"/>
          <w:color w:val="000000"/>
          <w:sz w:val="20"/>
          <w:szCs w:val="20"/>
        </w:rPr>
        <w:t xml:space="preserve">Fallback: GloFAS (Global Flood Awareness System by Copernicus) provides river discharge forecasts at 5km resolution, globally, free via Copernicus Climate Data Store.</w:t>
      </w:r>
    </w:p>
    <w:p>
      <w:pPr>
        <w:pStyle w:val="Heading2"/>
        <w:spacing w:after="80" w:before="240"/>
      </w:pPr>
      <w:r>
        <w:rPr>
          <w:b/>
          <w:bCs/>
          <w:color w:val="2471A3"/>
          <w:sz w:val="24"/>
          <w:szCs w:val="24"/>
        </w:rPr>
        <w:t xml:space="preserve">2.3 Terrain / DEM Data</w:t>
      </w:r>
    </w:p>
    <w:p>
      <w:pPr>
        <w:spacing w:after="40" w:before="40"/>
      </w:pPr>
      <w:r>
        <w:rPr>
          <w:b/>
          <w:bCs/>
          <w:sz w:val="20"/>
          <w:szCs w:val="20"/>
        </w:rPr>
        <w:t xml:space="preserve">SRTM / ALOS AW3D30 / Copernicus DEM: </w:t>
      </w:r>
      <w:r>
        <w:rPr>
          <w:b/>
          <w:bCs/>
          <w:color w:val="1E8449"/>
          <w:sz w:val="20"/>
          <w:szCs w:val="20"/>
        </w:rPr>
        <w:t xml:space="preserve">✅ Available</w:t>
      </w:r>
    </w:p>
    <w:p>
      <w:pPr>
        <w:spacing w:after="60" w:before="60"/>
      </w:pPr>
      <w:r>
        <w:rPr>
          <w:sz w:val="20"/>
          <w:szCs w:val="20"/>
        </w:rPr>
        <w:t xml:space="preserve">Multiple free 30m-resolution DEMs are available for India. Recommended choices:</w:t>
      </w:r>
    </w:p>
    <w:p>
      <w:pPr>
        <w:pStyle w:val="ListParagraph"/>
        <w:numPr>
          <w:ilvl w:val="0"/>
          <w:numId w:val="1"/>
        </w:numPr>
        <w:spacing w:after="40" w:before="40"/>
      </w:pPr>
      <w:r>
        <w:rPr>
          <w:b w:val="false"/>
          <w:bCs w:val="false"/>
          <w:color w:val="000000"/>
          <w:sz w:val="20"/>
          <w:szCs w:val="20"/>
        </w:rPr>
        <w:t xml:space="preserve">FABDEM (Forest and Buildings removed DEM) — best accuracy in flood-prone environments, free download.</w:t>
      </w:r>
    </w:p>
    <w:p>
      <w:pPr>
        <w:pStyle w:val="ListParagraph"/>
        <w:numPr>
          <w:ilvl w:val="0"/>
          <w:numId w:val="1"/>
        </w:numPr>
        <w:spacing w:after="40" w:before="40"/>
      </w:pPr>
      <w:r>
        <w:rPr>
          <w:b w:val="false"/>
          <w:bCs w:val="false"/>
          <w:color w:val="000000"/>
          <w:sz w:val="20"/>
          <w:szCs w:val="20"/>
        </w:rPr>
        <w:t xml:space="preserve">Copernicus DEM GLO-30 — 30m, higher accuracy than SRTM, freely available via AWS Open Data.</w:t>
      </w:r>
    </w:p>
    <w:p>
      <w:pPr>
        <w:pStyle w:val="ListParagraph"/>
        <w:numPr>
          <w:ilvl w:val="0"/>
          <w:numId w:val="1"/>
        </w:numPr>
        <w:spacing w:after="40" w:before="40"/>
      </w:pPr>
      <w:r>
        <w:rPr>
          <w:b w:val="false"/>
          <w:bCs w:val="false"/>
          <w:color w:val="000000"/>
          <w:sz w:val="20"/>
          <w:szCs w:val="20"/>
        </w:rPr>
        <w:t xml:space="preserve">ALOS AW3D30 — 30m, available via JAXA, good coverage, free for non-commercial research.</w:t>
      </w:r>
    </w:p>
    <w:p>
      <w:pPr>
        <w:pStyle w:val="ListParagraph"/>
        <w:numPr>
          <w:ilvl w:val="0"/>
          <w:numId w:val="1"/>
        </w:numPr>
        <w:spacing w:after="40" w:before="40"/>
      </w:pPr>
      <w:r>
        <w:rPr>
          <w:b w:val="false"/>
          <w:bCs w:val="false"/>
          <w:color w:val="000000"/>
          <w:sz w:val="20"/>
          <w:szCs w:val="20"/>
        </w:rPr>
        <w:t xml:space="preserve">SRTM 30m — the classic baseline, accessible via USGS EarthExplorer or OpenTopography API.</w:t>
      </w:r>
    </w:p>
    <w:p>
      <w:pPr>
        <w:spacing w:after="60" w:before="60"/>
      </w:pPr>
      <w:r>
        <w:rPr>
          <w:b/>
          <w:bCs/>
          <w:sz w:val="20"/>
          <w:szCs w:val="20"/>
        </w:rPr>
        <w:t xml:space="preserve">SIH Recommendation: </w:t>
      </w:r>
      <w:r>
        <w:rPr>
          <w:sz w:val="20"/>
          <w:szCs w:val="20"/>
        </w:rPr>
        <w:t xml:space="preserve">Use Copernicus DEM GLO-30 — it's accessible directly from AWS S3 with no account needed.</w:t>
      </w:r>
    </w:p>
    <w:p>
      <w:pPr>
        <w:pStyle w:val="Heading2"/>
        <w:spacing w:after="80" w:before="240"/>
      </w:pPr>
      <w:r>
        <w:rPr>
          <w:b/>
          <w:bCs/>
          <w:color w:val="2471A3"/>
          <w:sz w:val="24"/>
          <w:szCs w:val="24"/>
        </w:rPr>
        <w:t xml:space="preserve">2.4 Historical Flood Data</w:t>
      </w:r>
    </w:p>
    <w:p>
      <w:pPr>
        <w:spacing w:after="40" w:before="40"/>
      </w:pPr>
      <w:r>
        <w:rPr>
          <w:b/>
          <w:bCs/>
          <w:sz w:val="20"/>
          <w:szCs w:val="20"/>
        </w:rPr>
        <w:t xml:space="preserve">India Flood Inventory (IFI): </w:t>
      </w:r>
      <w:r>
        <w:rPr>
          <w:b/>
          <w:bCs/>
          <w:color w:val="1E8449"/>
          <w:sz w:val="20"/>
          <w:szCs w:val="20"/>
        </w:rPr>
        <w:t xml:space="preserve">✅ Available</w:t>
      </w:r>
    </w:p>
    <w:p>
      <w:pPr>
        <w:spacing w:after="60" w:before="60"/>
      </w:pPr>
      <w:r>
        <w:rPr>
          <w:sz w:val="20"/>
          <w:szCs w:val="20"/>
        </w:rPr>
        <w:t xml:space="preserve">IFI digitises 1,006 flood events (1985–2016) from IMD Disastrous Weather Events records. Available in GeoJSON/Shapefile format. A separate 120-year dataset (1901–2020) exists covering district-wise flood area and risk fractions. Both are free and openly licensed.</w:t>
      </w:r>
    </w:p>
    <w:p>
      <w:pPr>
        <w:pStyle w:val="ListParagraph"/>
        <w:numPr>
          <w:ilvl w:val="0"/>
          <w:numId w:val="1"/>
        </w:numPr>
        <w:spacing w:after="40" w:before="40"/>
      </w:pPr>
      <w:r>
        <w:rPr>
          <w:b w:val="false"/>
          <w:bCs w:val="false"/>
          <w:color w:val="000000"/>
          <w:sz w:val="20"/>
          <w:szCs w:val="20"/>
        </w:rPr>
        <w:t xml:space="preserve">Available via india-geodata GitHub project and IIT-Delhi Hydrosense Lab.</w:t>
      </w:r>
    </w:p>
    <w:p>
      <w:pPr>
        <w:pStyle w:val="ListParagraph"/>
        <w:numPr>
          <w:ilvl w:val="0"/>
          <w:numId w:val="1"/>
        </w:numPr>
        <w:spacing w:after="40" w:before="40"/>
      </w:pPr>
      <w:r>
        <w:rPr>
          <w:b w:val="false"/>
          <w:bCs w:val="false"/>
          <w:color w:val="000000"/>
          <w:sz w:val="20"/>
          <w:szCs w:val="20"/>
        </w:rPr>
        <w:t xml:space="preserve">Supplement with NOAA/NCEI international flood event records for additional training data.</w:t>
      </w:r>
    </w:p>
    <w:p>
      <w:pPr>
        <w:pStyle w:val="Heading2"/>
        <w:spacing w:after="80" w:before="240"/>
      </w:pPr>
      <w:r>
        <w:rPr>
          <w:b/>
          <w:bCs/>
          <w:color w:val="2471A3"/>
          <w:sz w:val="24"/>
          <w:szCs w:val="24"/>
        </w:rPr>
        <w:t xml:space="preserve">2.5 Population Data</w:t>
      </w:r>
    </w:p>
    <w:p>
      <w:pPr>
        <w:spacing w:after="40" w:before="40"/>
      </w:pPr>
      <w:r>
        <w:rPr>
          <w:b/>
          <w:bCs/>
          <w:sz w:val="20"/>
          <w:szCs w:val="20"/>
        </w:rPr>
        <w:t xml:space="preserve">WorldPop / Facebook HRSL: </w:t>
      </w:r>
      <w:r>
        <w:rPr>
          <w:b/>
          <w:bCs/>
          <w:color w:val="1E8449"/>
          <w:sz w:val="20"/>
          <w:szCs w:val="20"/>
        </w:rPr>
        <w:t xml:space="preserve">✅ Available</w:t>
      </w:r>
    </w:p>
    <w:p>
      <w:pPr>
        <w:spacing w:after="60" w:before="60"/>
      </w:pPr>
      <w:r>
        <w:rPr>
          <w:sz w:val="20"/>
          <w:szCs w:val="20"/>
        </w:rPr>
        <w:t xml:space="preserve">WorldPop provides India population grids at 100m resolution (2000–2020), freely available. Facebook's High Resolution Settlement Layer (HRSL) gives building-level population estimates at 30m resolution for India. Census 2011 data is available via data.gov.in. These can be loaded into PostGIS for spatial joins.</w:t>
      </w:r>
    </w:p>
    <w:p>
      <w:pPr>
        <w:pBdr>
          <w:bottom w:val="single" w:color="CCCCCC" w:sz="6"/>
        </w:pBdr>
        <w:spacing w:after="120" w:before="120"/>
      </w:pPr>
      <w:r>
        <w:t xml:space="preserve"/>
      </w:r>
    </w:p>
    <w:p>
      <w:pPr>
        <w:pStyle w:val="Heading1"/>
        <w:spacing w:after="120" w:before="360"/>
      </w:pPr>
      <w:r>
        <w:rPr>
          <w:b/>
          <w:bCs/>
          <w:color w:val="1A2B4A"/>
          <w:sz w:val="28"/>
          <w:szCs w:val="28"/>
        </w:rPr>
        <w:t xml:space="preserve">3. Recommended AI Approach</w:t>
      </w:r>
    </w:p>
    <w:p>
      <w:pPr>
        <w:pStyle w:val="Heading2"/>
        <w:spacing w:after="80" w:before="240"/>
      </w:pPr>
      <w:r>
        <w:rPr>
          <w:b/>
          <w:bCs/>
          <w:color w:val="2471A3"/>
          <w:sz w:val="24"/>
          <w:szCs w:val="24"/>
        </w:rPr>
        <w:t xml:space="preserve">3.1 Flood Risk Scoring Model</w:t>
      </w:r>
    </w:p>
    <w:p>
      <w:pPr>
        <w:spacing w:after="60" w:before="60"/>
      </w:pPr>
      <w:r>
        <w:rPr>
          <w:b/>
          <w:bCs/>
          <w:sz w:val="20"/>
          <w:szCs w:val="20"/>
        </w:rPr>
        <w:t xml:space="preserve">XGBoost + SHAP is the right choice for this project.</w:t>
      </w:r>
      <w:r>
        <w:rPr>
          <w:sz w:val="20"/>
          <w:szCs w:val="20"/>
        </w:rPr>
        <w:t xml:space="preserve"> Published research shows XGBoost achieves 93–97% accuracy on flood classification tasks, outperforming SVM and Random Forest. A PSO-optimized XGBoost reached 97% accuracy on flood risk datasets. SHAP provides per-zone explainability (which factors drove the score), which is a core differentiator in the proposed solution.</w:t>
      </w:r>
    </w:p>
    <w:p>
      <w:pPr>
        <w:pStyle w:val="Heading3"/>
        <w:spacing w:after="60" w:before="160"/>
      </w:pPr>
      <w:r>
        <w:rPr>
          <w:b/>
          <w:bCs/>
          <w:color w:val="1A2B4A"/>
          <w:sz w:val="22"/>
          <w:szCs w:val="22"/>
        </w:rPr>
        <w:t xml:space="preserve">Feature Engineering Pipeline</w:t>
      </w:r>
    </w:p>
    <w:p>
      <w:pPr>
        <w:pStyle w:val="ListParagraph"/>
        <w:numPr>
          <w:ilvl w:val="0"/>
          <w:numId w:val="1"/>
        </w:numPr>
        <w:spacing w:after="40" w:before="40"/>
      </w:pPr>
      <w:r>
        <w:rPr>
          <w:b w:val="false"/>
          <w:bCs w:val="false"/>
          <w:color w:val="000000"/>
          <w:sz w:val="20"/>
          <w:szCs w:val="20"/>
        </w:rPr>
        <w:t xml:space="preserve">Rainfall features: cumulative 1/3/7-day rainfall, IMD nowcast values, IMERG satellite estimates</w:t>
      </w:r>
    </w:p>
    <w:p>
      <w:pPr>
        <w:pStyle w:val="ListParagraph"/>
        <w:numPr>
          <w:ilvl w:val="0"/>
          <w:numId w:val="1"/>
        </w:numPr>
        <w:spacing w:after="40" w:before="40"/>
      </w:pPr>
      <w:r>
        <w:rPr>
          <w:b w:val="false"/>
          <w:bCs w:val="false"/>
          <w:color w:val="000000"/>
          <w:sz w:val="20"/>
          <w:szCs w:val="20"/>
        </w:rPr>
        <w:t xml:space="preserve">River features: current water surface elevation vs. danger/warning thresholds (from CWC scraper)</w:t>
      </w:r>
    </w:p>
    <w:p>
      <w:pPr>
        <w:pStyle w:val="ListParagraph"/>
        <w:numPr>
          <w:ilvl w:val="0"/>
          <w:numId w:val="1"/>
        </w:numPr>
        <w:spacing w:after="40" w:before="40"/>
      </w:pPr>
      <w:r>
        <w:rPr>
          <w:b w:val="false"/>
          <w:bCs w:val="false"/>
          <w:color w:val="000000"/>
          <w:sz w:val="20"/>
          <w:szCs w:val="20"/>
        </w:rPr>
        <w:t xml:space="preserve">Terrain features: slope, elevation, proximity to river, flow accumulation (from DEM + PostGIS)</w:t>
      </w:r>
    </w:p>
    <w:p>
      <w:pPr>
        <w:pStyle w:val="ListParagraph"/>
        <w:numPr>
          <w:ilvl w:val="0"/>
          <w:numId w:val="1"/>
        </w:numPr>
        <w:spacing w:after="40" w:before="40"/>
      </w:pPr>
      <w:r>
        <w:rPr>
          <w:b w:val="false"/>
          <w:bCs w:val="false"/>
          <w:color w:val="000000"/>
          <w:sz w:val="20"/>
          <w:szCs w:val="20"/>
        </w:rPr>
        <w:t xml:space="preserve">Historical features: flood frequency per zone (from IFI), historical peak gauge levels</w:t>
      </w:r>
    </w:p>
    <w:p>
      <w:pPr>
        <w:pStyle w:val="ListParagraph"/>
        <w:numPr>
          <w:ilvl w:val="0"/>
          <w:numId w:val="1"/>
        </w:numPr>
        <w:spacing w:after="40" w:before="40"/>
      </w:pPr>
      <w:r>
        <w:rPr>
          <w:b w:val="false"/>
          <w:bCs w:val="false"/>
          <w:color w:val="000000"/>
          <w:sz w:val="20"/>
          <w:szCs w:val="20"/>
        </w:rPr>
        <w:t xml:space="preserve">Population features: population density, vulnerable group density (from WorldPop)</w:t>
      </w:r>
    </w:p>
    <w:p>
      <w:pPr>
        <w:pStyle w:val="Heading3"/>
        <w:spacing w:after="60" w:before="160"/>
      </w:pPr>
      <w:r>
        <w:rPr>
          <w:b/>
          <w:bCs/>
          <w:color w:val="1A2B4A"/>
          <w:sz w:val="22"/>
          <w:szCs w:val="22"/>
        </w:rPr>
        <w:t xml:space="preserve">Training Strategy</w:t>
      </w:r>
    </w:p>
    <w:p>
      <w:pPr>
        <w:pStyle w:val="ListParagraph"/>
        <w:numPr>
          <w:ilvl w:val="0"/>
          <w:numId w:val="1"/>
        </w:numPr>
        <w:spacing w:after="40" w:before="40"/>
      </w:pPr>
      <w:r>
        <w:rPr>
          <w:b w:val="false"/>
          <w:bCs w:val="false"/>
          <w:color w:val="000000"/>
          <w:sz w:val="20"/>
          <w:szCs w:val="20"/>
        </w:rPr>
        <w:t xml:space="preserve">Use IFI historical flood events as positive labels; derive negative samples from non-flood periods.</w:t>
      </w:r>
    </w:p>
    <w:p>
      <w:pPr>
        <w:pStyle w:val="ListParagraph"/>
        <w:numPr>
          <w:ilvl w:val="0"/>
          <w:numId w:val="1"/>
        </w:numPr>
        <w:spacing w:after="40" w:before="40"/>
      </w:pPr>
      <w:r>
        <w:rPr>
          <w:b w:val="false"/>
          <w:bCs w:val="false"/>
          <w:color w:val="000000"/>
          <w:sz w:val="20"/>
          <w:szCs w:val="20"/>
        </w:rPr>
        <w:t xml:space="preserve">Handle class imbalance with SMOTE (Synthetic Minority Over-sampling Technique).</w:t>
      </w:r>
    </w:p>
    <w:p>
      <w:pPr>
        <w:pStyle w:val="ListParagraph"/>
        <w:numPr>
          <w:ilvl w:val="0"/>
          <w:numId w:val="1"/>
        </w:numPr>
        <w:spacing w:after="40" w:before="40"/>
      </w:pPr>
      <w:r>
        <w:rPr>
          <w:b w:val="false"/>
          <w:bCs w:val="false"/>
          <w:color w:val="000000"/>
          <w:sz w:val="20"/>
          <w:szCs w:val="20"/>
        </w:rPr>
        <w:t xml:space="preserve">Train offline, serialize with joblib, serve inline in FastAPI (no separate ML server needed).</w:t>
      </w:r>
    </w:p>
    <w:p>
      <w:pPr>
        <w:pStyle w:val="ListParagraph"/>
        <w:numPr>
          <w:ilvl w:val="0"/>
          <w:numId w:val="1"/>
        </w:numPr>
        <w:spacing w:after="40" w:before="40"/>
      </w:pPr>
      <w:r>
        <w:rPr>
          <w:b w:val="false"/>
          <w:bCs w:val="false"/>
          <w:color w:val="000000"/>
          <w:sz w:val="20"/>
          <w:szCs w:val="20"/>
        </w:rPr>
        <w:t xml:space="preserve">Retrain periodically with new monsoon season data.</w:t>
      </w:r>
    </w:p>
    <w:p>
      <w:pPr>
        <w:spacing w:after="60" w:before="60"/>
      </w:pPr>
      <w:r>
        <w:rPr>
          <w:b/>
          <w:bCs/>
          <w:sz w:val="20"/>
          <w:szCs w:val="20"/>
        </w:rPr>
        <w:t xml:space="preserve">Expected performance: </w:t>
      </w:r>
      <w:r>
        <w:rPr>
          <w:sz w:val="20"/>
          <w:szCs w:val="20"/>
        </w:rPr>
        <w:t xml:space="preserve">AUC 0.90–0.96 on held-out validation data (based on comparable published India flood risk models).</w:t>
      </w:r>
    </w:p>
    <w:p>
      <w:pPr>
        <w:pStyle w:val="Heading2"/>
        <w:spacing w:after="80" w:before="240"/>
      </w:pPr>
      <w:r>
        <w:rPr>
          <w:b/>
          <w:bCs/>
          <w:color w:val="2471A3"/>
          <w:sz w:val="24"/>
          <w:szCs w:val="24"/>
        </w:rPr>
        <w:t xml:space="preserve">3.2 Explainable AI (SHAP)</w:t>
      </w:r>
    </w:p>
    <w:p>
      <w:pPr>
        <w:spacing w:after="60" w:before="60"/>
      </w:pPr>
      <w:r>
        <w:rPr>
          <w:sz w:val="20"/>
          <w:szCs w:val="20"/>
        </w:rPr>
        <w:t xml:space="preserve">SHAP TreeExplainer works natively with XGBoost and adds &lt;10ms overhead per prediction. It generates per-zone feature importance values that can be directly displayed on the dashboard ('This zone is high-risk because: river at 94% of danger level, 3-day rainfall above 90th percentile, low elevation'). No additional infrastructure needed.</w:t>
      </w:r>
    </w:p>
    <w:p>
      <w:pPr>
        <w:pStyle w:val="Heading2"/>
        <w:spacing w:after="80" w:before="240"/>
      </w:pPr>
      <w:r>
        <w:rPr>
          <w:b/>
          <w:bCs/>
          <w:color w:val="2471A3"/>
          <w:sz w:val="24"/>
          <w:szCs w:val="24"/>
        </w:rPr>
        <w:t xml:space="preserve">3.3 Evacuation &amp; Resource Optimization</w:t>
      </w:r>
    </w:p>
    <w:p>
      <w:pPr>
        <w:spacing w:after="60" w:before="60"/>
      </w:pPr>
      <w:r>
        <w:rPr>
          <w:sz w:val="20"/>
          <w:szCs w:val="20"/>
        </w:rPr>
        <w:t xml:space="preserve">Use NetworkX for graph-based shortest-path routing over road network (OpenStreetMap data via osmnx library). Model shelters and rescue teams as nodes with capacity constraints. Greedy assignment of zones to nearest available shelter respecting capacity — this is a lightweight constrained assignment problem, not a full LP solver.</w:t>
      </w:r>
    </w:p>
    <w:p>
      <w:pPr>
        <w:pStyle w:val="Heading2"/>
        <w:spacing w:after="80" w:before="240"/>
      </w:pPr>
      <w:r>
        <w:rPr>
          <w:b/>
          <w:bCs/>
          <w:color w:val="2471A3"/>
          <w:sz w:val="24"/>
          <w:szCs w:val="24"/>
        </w:rPr>
        <w:t xml:space="preserve">3.4 Digital Twin Simulation</w:t>
      </w:r>
    </w:p>
    <w:p>
      <w:pPr>
        <w:spacing w:after="60" w:before="60"/>
      </w:pPr>
      <w:r>
        <w:rPr>
          <w:b/>
          <w:bCs/>
          <w:color w:val="D35400"/>
          <w:sz w:val="20"/>
          <w:szCs w:val="20"/>
        </w:rPr>
        <w:t xml:space="preserve">Scope carefully. </w:t>
      </w:r>
      <w:r>
        <w:rPr>
          <w:sz w:val="20"/>
          <w:szCs w:val="20"/>
        </w:rPr>
        <w:t xml:space="preserve">A full digital twin is complex. For SIH MVP, implement as a scenario slider: allow authorities to adjust 'rainfall intensity' and 'river level' parameters and see how the risk score changes per zone. This is a UI feature on top of the existing model, not a separate simulation engine.</w:t>
      </w:r>
    </w:p>
    <w:p>
      <w:pPr>
        <w:pBdr>
          <w:bottom w:val="single" w:color="CCCCCC" w:sz="6"/>
        </w:pBdr>
        <w:spacing w:after="120" w:before="120"/>
      </w:pPr>
      <w:r>
        <w:t xml:space="preserve"/>
      </w:r>
    </w:p>
    <w:p>
      <w:pPr>
        <w:pStyle w:val="Heading1"/>
        <w:spacing w:after="120" w:before="360"/>
      </w:pPr>
      <w:r>
        <w:rPr>
          <w:b/>
          <w:bCs/>
          <w:color w:val="1A2B4A"/>
          <w:sz w:val="28"/>
          <w:szCs w:val="28"/>
        </w:rPr>
        <w:t xml:space="preserve">4. API Limitations &amp; Technical Risks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A2B4A" w:color="auto" w:val="clear"/>
          </w:tcPr>
          <w:p>
            <w:pPr>
              <w:spacing w:after="60" w:before="60"/>
            </w:pPr>
            <w:r>
              <w:rPr>
                <w:b/>
                <w:bCs/>
                <w:color w:val="FFFFFF"/>
                <w:sz w:val="19"/>
                <w:szCs w:val="19"/>
              </w:rPr>
              <w:t xml:space="preserve">API / Data Source</w:t>
            </w:r>
          </w:p>
        </w:tc>
        <w:tc>
          <w:tcPr>
            <w:tcW w:type="dxa" w:w="1600"/>
            <w:shd w:fill="1A2B4A" w:color="auto" w:val="clear"/>
          </w:tcPr>
          <w:p>
            <w:pPr>
              <w:spacing w:after="60" w:before="60"/>
            </w:pPr>
            <w:r>
              <w:rPr>
                <w:b/>
                <w:bCs/>
                <w:color w:val="FFFFFF"/>
                <w:sz w:val="19"/>
                <w:szCs w:val="19"/>
              </w:rPr>
              <w:t xml:space="preserve">Status</w:t>
            </w:r>
          </w:p>
        </w:tc>
        <w:tc>
          <w:tcPr>
            <w:tcW w:type="dxa" w:w="1400"/>
            <w:shd w:fill="1A2B4A" w:color="auto" w:val="clear"/>
          </w:tcPr>
          <w:p>
            <w:pPr>
              <w:spacing w:after="60" w:before="60"/>
            </w:pPr>
            <w:r>
              <w:rPr>
                <w:b/>
                <w:bCs/>
                <w:color w:val="FFFFFF"/>
                <w:sz w:val="19"/>
                <w:szCs w:val="19"/>
              </w:rPr>
              <w:t xml:space="preserve">Risk Level</w:t>
            </w:r>
          </w:p>
        </w:tc>
        <w:tc>
          <w:tcPr>
            <w:tcW w:type="dxa" w:w="3800"/>
            <w:shd w:fill="1A2B4A" w:color="auto" w:val="clear"/>
          </w:tcPr>
          <w:p>
            <w:pPr>
              <w:spacing w:after="60" w:before="60"/>
            </w:pPr>
            <w:r>
              <w:rPr>
                <w:b/>
                <w:bCs/>
                <w:color w:val="FFFFFF"/>
                <w:sz w:val="19"/>
                <w:szCs w:val="19"/>
              </w:rPr>
              <w:t xml:space="preserve">Mitigation</w:t>
            </w:r>
          </w:p>
        </w:tc>
      </w:tr>
      <w:tr>
        <w:trPr>
          <w:tblHeader w:val="false"/>
        </w:trPr>
        <w:tc>
          <w:tcPr>
            <w:tcW w:type="dxa" w:w="2400"/>
          </w:tcPr>
          <w:p>
            <w:pPr>
              <w:spacing w:after="60" w:before="60"/>
            </w:pPr>
            <w:r>
              <w:rPr>
                <w:b w:val="false"/>
                <w:bCs w:val="false"/>
                <w:color w:val="000000"/>
                <w:sz w:val="19"/>
                <w:szCs w:val="19"/>
              </w:rPr>
              <w:t xml:space="preserve">IMD Forecast API</w:t>
            </w:r>
          </w:p>
        </w:tc>
        <w:tc>
          <w:tcPr>
            <w:tcW w:type="dxa" w:w="1600"/>
          </w:tcPr>
          <w:p>
            <w:pPr>
              <w:spacing w:after="60" w:before="60"/>
            </w:pPr>
            <w:r>
              <w:rPr>
                <w:b w:val="false"/>
                <w:bCs w:val="false"/>
                <w:color w:val="000000"/>
                <w:sz w:val="19"/>
                <w:szCs w:val="19"/>
              </w:rPr>
              <w:t xml:space="preserve">Registrations paused, IP whitelist required</w:t>
            </w:r>
          </w:p>
        </w:tc>
        <w:tc>
          <w:tcPr>
            <w:tcW w:type="dxa" w:w="1400"/>
          </w:tcPr>
          <w:p>
            <w:pPr>
              <w:spacing w:after="60" w:before="60"/>
            </w:pPr>
            <w:r>
              <w:rPr>
                <w:b w:val="false"/>
                <w:bCs w:val="false"/>
                <w:color w:val="C0392B"/>
                <w:sz w:val="19"/>
                <w:szCs w:val="19"/>
              </w:rPr>
              <w:t xml:space="preserve">🔴 High</w:t>
            </w:r>
          </w:p>
        </w:tc>
        <w:tc>
          <w:tcPr>
            <w:tcW w:type="dxa" w:w="3800"/>
          </w:tcPr>
          <w:p>
            <w:pPr>
              <w:spacing w:after="60" w:before="60"/>
            </w:pPr>
            <w:r>
              <w:rPr>
                <w:b w:val="false"/>
                <w:bCs w:val="false"/>
                <w:color w:val="000000"/>
                <w:sz w:val="19"/>
                <w:szCs w:val="19"/>
              </w:rPr>
              <w:t xml:space="preserve">Use Open-Meteo or NASA IMERG as fallback. Email IMD contact for expedited SIH access.</w:t>
            </w:r>
          </w:p>
        </w:tc>
      </w:tr>
      <w:tr>
        <w:trPr>
          <w:tblHeader w:val="false"/>
        </w:trPr>
        <w:tc>
          <w:tcPr>
            <w:tcW w:type="dxa" w:w="2400"/>
            <w:shd w:fill="F2F3F4" w:color="auto" w:val="clear"/>
          </w:tcPr>
          <w:p>
            <w:pPr>
              <w:spacing w:after="60" w:before="60"/>
            </w:pPr>
            <w:r>
              <w:rPr>
                <w:b w:val="false"/>
                <w:bCs w:val="false"/>
                <w:color w:val="000000"/>
                <w:sz w:val="19"/>
                <w:szCs w:val="19"/>
              </w:rPr>
              <w:t xml:space="preserve">CWC River Data</w:t>
            </w:r>
          </w:p>
        </w:tc>
        <w:tc>
          <w:tcPr>
            <w:tcW w:type="dxa" w:w="1600"/>
            <w:shd w:fill="F2F3F4" w:color="auto" w:val="clear"/>
          </w:tcPr>
          <w:p>
            <w:pPr>
              <w:spacing w:after="60" w:before="60"/>
            </w:pPr>
            <w:r>
              <w:rPr>
                <w:b w:val="false"/>
                <w:bCs w:val="false"/>
                <w:color w:val="000000"/>
                <w:sz w:val="19"/>
                <w:szCs w:val="19"/>
              </w:rPr>
              <w:t xml:space="preserve">No public API, portal-only</w:t>
            </w:r>
          </w:p>
        </w:tc>
        <w:tc>
          <w:tcPr>
            <w:tcW w:type="dxa" w:w="1400"/>
            <w:shd w:fill="F2F3F4" w:color="auto" w:val="clear"/>
          </w:tcPr>
          <w:p>
            <w:pPr>
              <w:spacing w:after="60" w:before="60"/>
            </w:pPr>
            <w:r>
              <w:rPr>
                <w:b w:val="false"/>
                <w:bCs w:val="false"/>
                <w:color w:val="F39C12"/>
                <w:sz w:val="19"/>
                <w:szCs w:val="19"/>
              </w:rPr>
              <w:t xml:space="preserve">🟡 Medium</w:t>
            </w:r>
          </w:p>
        </w:tc>
        <w:tc>
          <w:tcPr>
            <w:tcW w:type="dxa" w:w="3800"/>
            <w:shd w:fill="F2F3F4" w:color="auto" w:val="clear"/>
          </w:tcPr>
          <w:p>
            <w:pPr>
              <w:spacing w:after="60" w:before="60"/>
            </w:pPr>
            <w:r>
              <w:rPr>
                <w:b w:val="false"/>
                <w:bCs w:val="false"/>
                <w:color w:val="000000"/>
                <w:sz w:val="19"/>
                <w:szCs w:val="19"/>
              </w:rPr>
              <w:t xml:space="preserve">Web scrape CWC Flood Portal. Use GloFAS as fallback. Accept data latency of ~1 hour.</w:t>
            </w:r>
          </w:p>
        </w:tc>
      </w:tr>
      <w:tr>
        <w:trPr>
          <w:tblHeader w:val="false"/>
        </w:trPr>
        <w:tc>
          <w:tcPr>
            <w:tcW w:type="dxa" w:w="2400"/>
          </w:tcPr>
          <w:p>
            <w:pPr>
              <w:spacing w:after="60" w:before="60"/>
            </w:pPr>
            <w:r>
              <w:rPr>
                <w:b w:val="false"/>
                <w:bCs w:val="false"/>
                <w:color w:val="000000"/>
                <w:sz w:val="19"/>
                <w:szCs w:val="19"/>
              </w:rPr>
              <w:t xml:space="preserve">NASA GPM IMERG</w:t>
            </w:r>
          </w:p>
        </w:tc>
        <w:tc>
          <w:tcPr>
            <w:tcW w:type="dxa" w:w="1600"/>
          </w:tcPr>
          <w:p>
            <w:pPr>
              <w:spacing w:after="60" w:before="60"/>
            </w:pPr>
            <w:r>
              <w:rPr>
                <w:b w:val="false"/>
                <w:bCs w:val="false"/>
                <w:color w:val="000000"/>
                <w:sz w:val="19"/>
                <w:szCs w:val="19"/>
              </w:rPr>
              <w:t xml:space="preserve">Free, requires Earthdata login</w:t>
            </w:r>
          </w:p>
        </w:tc>
        <w:tc>
          <w:tcPr>
            <w:tcW w:type="dxa" w:w="1400"/>
          </w:tcPr>
          <w:p>
            <w:pPr>
              <w:spacing w:after="60" w:before="60"/>
            </w:pPr>
            <w:r>
              <w:rPr>
                <w:b w:val="false"/>
                <w:bCs w:val="false"/>
                <w:color w:val="1E8449"/>
                <w:sz w:val="19"/>
                <w:szCs w:val="19"/>
              </w:rPr>
              <w:t xml:space="preserve">✅ Low</w:t>
            </w:r>
          </w:p>
        </w:tc>
        <w:tc>
          <w:tcPr>
            <w:tcW w:type="dxa" w:w="3800"/>
          </w:tcPr>
          <w:p>
            <w:pPr>
              <w:spacing w:after="60" w:before="60"/>
            </w:pPr>
            <w:r>
              <w:rPr>
                <w:b w:val="false"/>
                <w:bCs w:val="false"/>
                <w:color w:val="000000"/>
                <w:sz w:val="19"/>
                <w:szCs w:val="19"/>
              </w:rPr>
              <w:t xml:space="preserve">Register at urs.earthdata.nasa.gov. Use Early Run for real-time (4-hr latency).</w:t>
            </w:r>
          </w:p>
        </w:tc>
      </w:tr>
      <w:tr>
        <w:trPr>
          <w:tblHeader w:val="false"/>
        </w:trPr>
        <w:tc>
          <w:tcPr>
            <w:tcW w:type="dxa" w:w="2400"/>
            <w:shd w:fill="F2F3F4" w:color="auto" w:val="clear"/>
          </w:tcPr>
          <w:p>
            <w:pPr>
              <w:spacing w:after="60" w:before="60"/>
            </w:pPr>
            <w:r>
              <w:rPr>
                <w:b w:val="false"/>
                <w:bCs w:val="false"/>
                <w:color w:val="000000"/>
                <w:sz w:val="19"/>
                <w:szCs w:val="19"/>
              </w:rPr>
              <w:t xml:space="preserve">OpenStreetMap / Leaflet</w:t>
            </w:r>
          </w:p>
        </w:tc>
        <w:tc>
          <w:tcPr>
            <w:tcW w:type="dxa" w:w="1600"/>
            <w:shd w:fill="F2F3F4" w:color="auto" w:val="clear"/>
          </w:tcPr>
          <w:p>
            <w:pPr>
              <w:spacing w:after="60" w:before="60"/>
            </w:pPr>
            <w:r>
              <w:rPr>
                <w:b w:val="false"/>
                <w:bCs w:val="false"/>
                <w:color w:val="000000"/>
                <w:sz w:val="19"/>
                <w:szCs w:val="19"/>
              </w:rPr>
              <w:t xml:space="preserve">Fully free, no auth</w:t>
            </w:r>
          </w:p>
        </w:tc>
        <w:tc>
          <w:tcPr>
            <w:tcW w:type="dxa" w:w="1400"/>
            <w:shd w:fill="F2F3F4" w:color="auto" w:val="clear"/>
          </w:tcPr>
          <w:p>
            <w:pPr>
              <w:spacing w:after="60" w:before="60"/>
            </w:pPr>
            <w:r>
              <w:rPr>
                <w:b w:val="false"/>
                <w:bCs w:val="false"/>
                <w:color w:val="1E8449"/>
                <w:sz w:val="19"/>
                <w:szCs w:val="19"/>
              </w:rPr>
              <w:t xml:space="preserve">✅ Low</w:t>
            </w:r>
          </w:p>
        </w:tc>
        <w:tc>
          <w:tcPr>
            <w:tcW w:type="dxa" w:w="3800"/>
            <w:shd w:fill="F2F3F4" w:color="auto" w:val="clear"/>
          </w:tcPr>
          <w:p>
            <w:pPr>
              <w:spacing w:after="60" w:before="60"/>
            </w:pPr>
            <w:r>
              <w:rPr>
                <w:b w:val="false"/>
                <w:bCs w:val="false"/>
                <w:color w:val="000000"/>
                <w:sz w:val="19"/>
                <w:szCs w:val="19"/>
              </w:rPr>
              <w:t xml:space="preserve">Use osmnx to download road network. Tile hosting via OpenStreetMap CDN.</w:t>
            </w:r>
          </w:p>
        </w:tc>
      </w:tr>
      <w:tr>
        <w:trPr>
          <w:tblHeader w:val="false"/>
        </w:trPr>
        <w:tc>
          <w:tcPr>
            <w:tcW w:type="dxa" w:w="2400"/>
          </w:tcPr>
          <w:p>
            <w:pPr>
              <w:spacing w:after="60" w:before="60"/>
            </w:pPr>
            <w:r>
              <w:rPr>
                <w:b w:val="false"/>
                <w:bCs w:val="false"/>
                <w:color w:val="000000"/>
                <w:sz w:val="19"/>
                <w:szCs w:val="19"/>
              </w:rPr>
              <w:t xml:space="preserve">Twilio SMS India</w:t>
            </w:r>
          </w:p>
        </w:tc>
        <w:tc>
          <w:tcPr>
            <w:tcW w:type="dxa" w:w="1600"/>
          </w:tcPr>
          <w:p>
            <w:pPr>
              <w:spacing w:after="60" w:before="60"/>
            </w:pPr>
            <w:r>
              <w:rPr>
                <w:b w:val="false"/>
                <w:bCs w:val="false"/>
                <w:color w:val="000000"/>
                <w:sz w:val="19"/>
                <w:szCs w:val="19"/>
              </w:rPr>
              <w:t xml:space="preserve">Available, DLT registration required</w:t>
            </w:r>
          </w:p>
        </w:tc>
        <w:tc>
          <w:tcPr>
            <w:tcW w:type="dxa" w:w="1400"/>
          </w:tcPr>
          <w:p>
            <w:pPr>
              <w:spacing w:after="60" w:before="60"/>
            </w:pPr>
            <w:r>
              <w:rPr>
                <w:b w:val="false"/>
                <w:bCs w:val="false"/>
                <w:color w:val="F39C12"/>
                <w:sz w:val="19"/>
                <w:szCs w:val="19"/>
              </w:rPr>
              <w:t xml:space="preserve">🟡 Medium</w:t>
            </w:r>
          </w:p>
        </w:tc>
        <w:tc>
          <w:tcPr>
            <w:tcW w:type="dxa" w:w="3800"/>
          </w:tcPr>
          <w:p>
            <w:pPr>
              <w:spacing w:after="60" w:before="60"/>
            </w:pPr>
            <w:r>
              <w:rPr>
                <w:b w:val="false"/>
                <w:bCs w:val="false"/>
                <w:color w:val="000000"/>
                <w:sz w:val="19"/>
                <w:szCs w:val="19"/>
              </w:rPr>
              <w:t xml:space="preserve">SMS costs $0.0832/msg in India. DLT entity + template registration mandatory per TRAI. Use Firebase FCM for push (free) as primary alert channel; Twilio for SMS backup.</w:t>
            </w:r>
          </w:p>
        </w:tc>
      </w:tr>
      <w:tr>
        <w:trPr>
          <w:tblHeader w:val="false"/>
        </w:trPr>
        <w:tc>
          <w:tcPr>
            <w:tcW w:type="dxa" w:w="2400"/>
            <w:shd w:fill="F2F3F4" w:color="auto" w:val="clear"/>
          </w:tcPr>
          <w:p>
            <w:pPr>
              <w:spacing w:after="60" w:before="60"/>
            </w:pPr>
            <w:r>
              <w:rPr>
                <w:b w:val="false"/>
                <w:bCs w:val="false"/>
                <w:color w:val="000000"/>
                <w:sz w:val="19"/>
                <w:szCs w:val="19"/>
              </w:rPr>
              <w:t xml:space="preserve">Firebase FCM Push</w:t>
            </w:r>
          </w:p>
        </w:tc>
        <w:tc>
          <w:tcPr>
            <w:tcW w:type="dxa" w:w="1600"/>
            <w:shd w:fill="F2F3F4" w:color="auto" w:val="clear"/>
          </w:tcPr>
          <w:p>
            <w:pPr>
              <w:spacing w:after="60" w:before="60"/>
            </w:pPr>
            <w:r>
              <w:rPr>
                <w:b w:val="false"/>
                <w:bCs w:val="false"/>
                <w:color w:val="000000"/>
                <w:sz w:val="19"/>
                <w:szCs w:val="19"/>
              </w:rPr>
              <w:t xml:space="preserve">Free, unlimited</w:t>
            </w:r>
          </w:p>
        </w:tc>
        <w:tc>
          <w:tcPr>
            <w:tcW w:type="dxa" w:w="1400"/>
            <w:shd w:fill="F2F3F4" w:color="auto" w:val="clear"/>
          </w:tcPr>
          <w:p>
            <w:pPr>
              <w:spacing w:after="60" w:before="60"/>
            </w:pPr>
            <w:r>
              <w:rPr>
                <w:b w:val="false"/>
                <w:bCs w:val="false"/>
                <w:color w:val="1E8449"/>
                <w:sz w:val="19"/>
                <w:szCs w:val="19"/>
              </w:rPr>
              <w:t xml:space="preserve">✅ Low</w:t>
            </w:r>
          </w:p>
        </w:tc>
        <w:tc>
          <w:tcPr>
            <w:tcW w:type="dxa" w:w="3800"/>
            <w:shd w:fill="F2F3F4" w:color="auto" w:val="clear"/>
          </w:tcPr>
          <w:p>
            <w:pPr>
              <w:spacing w:after="60" w:before="60"/>
            </w:pPr>
            <w:r>
              <w:rPr>
                <w:b w:val="false"/>
                <w:bCs w:val="false"/>
                <w:color w:val="000000"/>
                <w:sz w:val="19"/>
                <w:szCs w:val="19"/>
              </w:rPr>
              <w:t xml:space="preserve">Completely free on both Spark and Blaze plans. No per-message charge. Primary alert mechanism.</w:t>
            </w:r>
          </w:p>
        </w:tc>
      </w:tr>
      <w:tr>
        <w:trPr>
          <w:tblHeader w:val="false"/>
        </w:trPr>
        <w:tc>
          <w:tcPr>
            <w:tcW w:type="dxa" w:w="2400"/>
          </w:tcPr>
          <w:p>
            <w:pPr>
              <w:spacing w:after="60" w:before="60"/>
            </w:pPr>
            <w:r>
              <w:rPr>
                <w:b w:val="false"/>
                <w:bCs w:val="false"/>
                <w:color w:val="000000"/>
                <w:sz w:val="19"/>
                <w:szCs w:val="19"/>
              </w:rPr>
              <w:t xml:space="preserve">Supabase (PostgreSQL + PostGIS)</w:t>
            </w:r>
          </w:p>
        </w:tc>
        <w:tc>
          <w:tcPr>
            <w:tcW w:type="dxa" w:w="1600"/>
          </w:tcPr>
          <w:p>
            <w:pPr>
              <w:spacing w:after="60" w:before="60"/>
            </w:pPr>
            <w:r>
              <w:rPr>
                <w:b w:val="false"/>
                <w:bCs w:val="false"/>
                <w:color w:val="000000"/>
                <w:sz w:val="19"/>
                <w:szCs w:val="19"/>
              </w:rPr>
              <w:t xml:space="preserve">Free tier available</w:t>
            </w:r>
          </w:p>
        </w:tc>
        <w:tc>
          <w:tcPr>
            <w:tcW w:type="dxa" w:w="1400"/>
          </w:tcPr>
          <w:p>
            <w:pPr>
              <w:spacing w:after="60" w:before="60"/>
            </w:pPr>
            <w:r>
              <w:rPr>
                <w:b w:val="false"/>
                <w:bCs w:val="false"/>
                <w:color w:val="D35400"/>
                <w:sz w:val="19"/>
                <w:szCs w:val="19"/>
              </w:rPr>
              <w:t xml:space="preserve">⚠️ Conditional</w:t>
            </w:r>
          </w:p>
        </w:tc>
        <w:tc>
          <w:tcPr>
            <w:tcW w:type="dxa" w:w="3800"/>
          </w:tcPr>
          <w:p>
            <w:pPr>
              <w:spacing w:after="60" w:before="60"/>
            </w:pPr>
            <w:r>
              <w:rPr>
                <w:b w:val="false"/>
                <w:bCs w:val="false"/>
                <w:color w:val="000000"/>
                <w:sz w:val="19"/>
                <w:szCs w:val="19"/>
              </w:rPr>
              <w:t xml:space="preserve">Free: 500 MB DB, 5 GB bandwidth, pauses after 1 week inactivity. For demo use, upgrade to Pro ($25/mo) to prevent auto-pause. PostGIS is supported but check extension availability on free tier.</w:t>
            </w:r>
          </w:p>
        </w:tc>
      </w:tr>
      <w:tr>
        <w:trPr>
          <w:tblHeader w:val="false"/>
        </w:trPr>
        <w:tc>
          <w:tcPr>
            <w:tcW w:type="dxa" w:w="2400"/>
            <w:shd w:fill="F2F3F4" w:color="auto" w:val="clear"/>
          </w:tcPr>
          <w:p>
            <w:pPr>
              <w:spacing w:after="60" w:before="60"/>
            </w:pPr>
            <w:r>
              <w:rPr>
                <w:b w:val="false"/>
                <w:bCs w:val="false"/>
                <w:color w:val="000000"/>
                <w:sz w:val="19"/>
                <w:szCs w:val="19"/>
              </w:rPr>
              <w:t xml:space="preserve">Bluetooth MeshLink</w:t>
            </w:r>
          </w:p>
        </w:tc>
        <w:tc>
          <w:tcPr>
            <w:tcW w:type="dxa" w:w="1600"/>
            <w:shd w:fill="F2F3F4" w:color="auto" w:val="clear"/>
          </w:tcPr>
          <w:p>
            <w:pPr>
              <w:spacing w:after="60" w:before="60"/>
            </w:pPr>
            <w:r>
              <w:rPr>
                <w:b w:val="false"/>
                <w:bCs w:val="false"/>
                <w:color w:val="000000"/>
                <w:sz w:val="19"/>
                <w:szCs w:val="19"/>
              </w:rPr>
              <w:t xml:space="preserve">Not an API — hardware dependent</w:t>
            </w:r>
          </w:p>
        </w:tc>
        <w:tc>
          <w:tcPr>
            <w:tcW w:type="dxa" w:w="1400"/>
            <w:shd w:fill="F2F3F4" w:color="auto" w:val="clear"/>
          </w:tcPr>
          <w:p>
            <w:pPr>
              <w:spacing w:after="60" w:before="60"/>
            </w:pPr>
            <w:r>
              <w:rPr>
                <w:b w:val="false"/>
                <w:bCs w:val="false"/>
                <w:color w:val="C0392B"/>
                <w:sz w:val="19"/>
                <w:szCs w:val="19"/>
              </w:rPr>
              <w:t xml:space="preserve">🔴 Very High</w:t>
            </w:r>
          </w:p>
        </w:tc>
        <w:tc>
          <w:tcPr>
            <w:tcW w:type="dxa" w:w="3800"/>
            <w:shd w:fill="F2F3F4" w:color="auto" w:val="clear"/>
          </w:tcPr>
          <w:p>
            <w:pPr>
              <w:spacing w:after="60" w:before="60"/>
            </w:pPr>
            <w:r>
              <w:rPr>
                <w:b w:val="false"/>
                <w:bCs w:val="false"/>
                <w:color w:val="000000"/>
                <w:sz w:val="19"/>
                <w:szCs w:val="19"/>
              </w:rPr>
              <w:t xml:space="preserve">Bluetooth range is ~100m in open terrain, less in buildings. Cannot be practically demonstrated without physical hardware and device density. Recommend presenting as a concept/slide only in SIH.</w:t>
            </w:r>
          </w:p>
        </w:tc>
      </w:tr>
    </w:tbl>
    <w:p>
      <w:pPr>
        <w:pBdr>
          <w:bottom w:val="single" w:color="CCCCCC" w:sz="6"/>
        </w:pBdr>
        <w:spacing w:after="120" w:before="120"/>
      </w:pPr>
      <w:r>
        <w:t xml:space="preserve"/>
      </w:r>
    </w:p>
    <w:p>
      <w:pPr>
        <w:pStyle w:val="Heading1"/>
        <w:spacing w:after="120" w:before="360"/>
      </w:pPr>
      <w:r>
        <w:rPr>
          <w:b/>
          <w:bCs/>
          <w:color w:val="1A2B4A"/>
          <w:sz w:val="28"/>
          <w:szCs w:val="28"/>
        </w:rPr>
        <w:t xml:space="preserve">5. Approximate Costs</w:t>
      </w:r>
    </w:p>
    <w:p>
      <w:pPr>
        <w:pStyle w:val="Heading2"/>
        <w:spacing w:after="80" w:before="240"/>
      </w:pPr>
      <w:r>
        <w:rPr>
          <w:b/>
          <w:bCs/>
          <w:color w:val="2471A3"/>
          <w:sz w:val="24"/>
          <w:szCs w:val="24"/>
        </w:rPr>
        <w:t xml:space="preserve">5.1 MVP / Hackathon Phase (Free Tier)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1A2B4A" w:color="auto" w:val="clear"/>
          </w:tcPr>
          <w:p>
            <w:pPr>
              <w:spacing w:after="60" w:before="60"/>
            </w:pPr>
            <w:r>
              <w:rPr>
                <w:b/>
                <w:bCs/>
                <w:color w:val="FFFFFF"/>
                <w:sz w:val="19"/>
                <w:szCs w:val="19"/>
              </w:rPr>
              <w:t xml:space="preserve">Component</w:t>
            </w:r>
          </w:p>
        </w:tc>
        <w:tc>
          <w:tcPr>
            <w:tcW w:type="dxa" w:w="2800"/>
            <w:shd w:fill="1A2B4A" w:color="auto" w:val="clear"/>
          </w:tcPr>
          <w:p>
            <w:pPr>
              <w:spacing w:after="60" w:before="60"/>
            </w:pPr>
            <w:r>
              <w:rPr>
                <w:b/>
                <w:bCs/>
                <w:color w:val="FFFFFF"/>
                <w:sz w:val="19"/>
                <w:szCs w:val="19"/>
              </w:rPr>
              <w:t xml:space="preserve">Service</w:t>
            </w:r>
          </w:p>
        </w:tc>
        <w:tc>
          <w:tcPr>
            <w:tcW w:type="dxa" w:w="3200"/>
            <w:shd w:fill="1A2B4A" w:color="auto" w:val="clear"/>
          </w:tcPr>
          <w:p>
            <w:pPr>
              <w:spacing w:after="60" w:before="60"/>
            </w:pPr>
            <w:r>
              <w:rPr>
                <w:b/>
                <w:bCs/>
                <w:color w:val="FFFFFF"/>
                <w:sz w:val="19"/>
                <w:szCs w:val="19"/>
              </w:rPr>
              <w:t xml:space="preserve">Monthly Cost</w:t>
            </w:r>
          </w:p>
        </w:tc>
      </w:tr>
      <w:tr>
        <w:trPr>
          <w:tblHeader w:val="false"/>
        </w:trPr>
        <w:tc>
          <w:tcPr>
            <w:tcW w:type="dxa" w:w="3200"/>
          </w:tcPr>
          <w:p>
            <w:pPr>
              <w:spacing w:after="60" w:before="60"/>
            </w:pPr>
            <w:r>
              <w:rPr>
                <w:b w:val="false"/>
                <w:bCs w:val="false"/>
                <w:color w:val="000000"/>
                <w:sz w:val="19"/>
                <w:szCs w:val="19"/>
              </w:rPr>
              <w:t xml:space="preserve">Frontend hosting</w:t>
            </w:r>
          </w:p>
        </w:tc>
        <w:tc>
          <w:tcPr>
            <w:tcW w:type="dxa" w:w="2800"/>
          </w:tcPr>
          <w:p>
            <w:pPr>
              <w:spacing w:after="60" w:before="60"/>
            </w:pPr>
            <w:r>
              <w:rPr>
                <w:b w:val="false"/>
                <w:bCs w:val="false"/>
                <w:color w:val="000000"/>
                <w:sz w:val="19"/>
                <w:szCs w:val="19"/>
              </w:rPr>
              <w:t xml:space="preserve">Vercel Hobby</w:t>
            </w:r>
          </w:p>
        </w:tc>
        <w:tc>
          <w:tcPr>
            <w:tcW w:type="dxa" w:w="3200"/>
          </w:tcPr>
          <w:p>
            <w:pPr>
              <w:spacing w:after="60" w:before="60"/>
            </w:pPr>
            <w:r>
              <w:rPr>
                <w:b w:val="false"/>
                <w:bCs w:val="false"/>
                <w:color w:val="000000"/>
                <w:sz w:val="19"/>
                <w:szCs w:val="19"/>
              </w:rPr>
              <w:t xml:space="preserve">Free</w:t>
            </w:r>
          </w:p>
        </w:tc>
      </w:tr>
      <w:tr>
        <w:trPr>
          <w:tblHeader w:val="false"/>
        </w:trPr>
        <w:tc>
          <w:tcPr>
            <w:tcW w:type="dxa" w:w="3200"/>
            <w:shd w:fill="F2F3F4" w:color="auto" w:val="clear"/>
          </w:tcPr>
          <w:p>
            <w:pPr>
              <w:spacing w:after="60" w:before="60"/>
            </w:pPr>
            <w:r>
              <w:rPr>
                <w:b w:val="false"/>
                <w:bCs w:val="false"/>
                <w:color w:val="000000"/>
                <w:sz w:val="19"/>
                <w:szCs w:val="19"/>
              </w:rPr>
              <w:t xml:space="preserve">Backend API</w:t>
            </w:r>
          </w:p>
        </w:tc>
        <w:tc>
          <w:tcPr>
            <w:tcW w:type="dxa" w:w="2800"/>
            <w:shd w:fill="F2F3F4" w:color="auto" w:val="clear"/>
          </w:tcPr>
          <w:p>
            <w:pPr>
              <w:spacing w:after="60" w:before="60"/>
            </w:pPr>
            <w:r>
              <w:rPr>
                <w:b w:val="false"/>
                <w:bCs w:val="false"/>
                <w:color w:val="000000"/>
                <w:sz w:val="19"/>
                <w:szCs w:val="19"/>
              </w:rPr>
              <w:t xml:space="preserve">Render.com / Railway free tier</w:t>
            </w:r>
          </w:p>
        </w:tc>
        <w:tc>
          <w:tcPr>
            <w:tcW w:type="dxa" w:w="3200"/>
            <w:shd w:fill="F2F3F4" w:color="auto" w:val="clear"/>
          </w:tcPr>
          <w:p>
            <w:pPr>
              <w:spacing w:after="60" w:before="60"/>
            </w:pPr>
            <w:r>
              <w:rPr>
                <w:b w:val="false"/>
                <w:bCs w:val="false"/>
                <w:color w:val="000000"/>
                <w:sz w:val="19"/>
                <w:szCs w:val="19"/>
              </w:rPr>
              <w:t xml:space="preserve">Free (with sleep after inactivity)</w:t>
            </w:r>
          </w:p>
        </w:tc>
      </w:tr>
      <w:tr>
        <w:trPr>
          <w:tblHeader w:val="false"/>
        </w:trPr>
        <w:tc>
          <w:tcPr>
            <w:tcW w:type="dxa" w:w="3200"/>
          </w:tcPr>
          <w:p>
            <w:pPr>
              <w:spacing w:after="60" w:before="60"/>
            </w:pPr>
            <w:r>
              <w:rPr>
                <w:b w:val="false"/>
                <w:bCs w:val="false"/>
                <w:color w:val="000000"/>
                <w:sz w:val="19"/>
                <w:szCs w:val="19"/>
              </w:rPr>
              <w:t xml:space="preserve">Database + PostGIS</w:t>
            </w:r>
          </w:p>
        </w:tc>
        <w:tc>
          <w:tcPr>
            <w:tcW w:type="dxa" w:w="2800"/>
          </w:tcPr>
          <w:p>
            <w:pPr>
              <w:spacing w:after="60" w:before="60"/>
            </w:pPr>
            <w:r>
              <w:rPr>
                <w:b w:val="false"/>
                <w:bCs w:val="false"/>
                <w:color w:val="000000"/>
                <w:sz w:val="19"/>
                <w:szCs w:val="19"/>
              </w:rPr>
              <w:t xml:space="preserve">Supabase Free</w:t>
            </w:r>
          </w:p>
        </w:tc>
        <w:tc>
          <w:tcPr>
            <w:tcW w:type="dxa" w:w="3200"/>
          </w:tcPr>
          <w:p>
            <w:pPr>
              <w:spacing w:after="60" w:before="60"/>
            </w:pPr>
            <w:r>
              <w:rPr>
                <w:b w:val="false"/>
                <w:bCs w:val="false"/>
                <w:color w:val="000000"/>
                <w:sz w:val="19"/>
                <w:szCs w:val="19"/>
              </w:rPr>
              <w:t xml:space="preserve">Free (500 MB DB, pauses after 1 wk)</w:t>
            </w:r>
          </w:p>
        </w:tc>
      </w:tr>
      <w:tr>
        <w:trPr>
          <w:tblHeader w:val="false"/>
        </w:trPr>
        <w:tc>
          <w:tcPr>
            <w:tcW w:type="dxa" w:w="3200"/>
            <w:shd w:fill="F2F3F4" w:color="auto" w:val="clear"/>
          </w:tcPr>
          <w:p>
            <w:pPr>
              <w:spacing w:after="60" w:before="60"/>
            </w:pPr>
            <w:r>
              <w:rPr>
                <w:b w:val="false"/>
                <w:bCs w:val="false"/>
                <w:color w:val="000000"/>
                <w:sz w:val="19"/>
                <w:szCs w:val="19"/>
              </w:rPr>
              <w:t xml:space="preserve">Weather data</w:t>
            </w:r>
          </w:p>
        </w:tc>
        <w:tc>
          <w:tcPr>
            <w:tcW w:type="dxa" w:w="2800"/>
            <w:shd w:fill="F2F3F4" w:color="auto" w:val="clear"/>
          </w:tcPr>
          <w:p>
            <w:pPr>
              <w:spacing w:after="60" w:before="60"/>
            </w:pPr>
            <w:r>
              <w:rPr>
                <w:b w:val="false"/>
                <w:bCs w:val="false"/>
                <w:color w:val="000000"/>
                <w:sz w:val="19"/>
                <w:szCs w:val="19"/>
              </w:rPr>
              <w:t xml:space="preserve">Open-Meteo / NASA IMERG</w:t>
            </w:r>
          </w:p>
        </w:tc>
        <w:tc>
          <w:tcPr>
            <w:tcW w:type="dxa" w:w="3200"/>
            <w:shd w:fill="F2F3F4" w:color="auto" w:val="clear"/>
          </w:tcPr>
          <w:p>
            <w:pPr>
              <w:spacing w:after="60" w:before="60"/>
            </w:pPr>
            <w:r>
              <w:rPr>
                <w:b w:val="false"/>
                <w:bCs w:val="false"/>
                <w:color w:val="000000"/>
                <w:sz w:val="19"/>
                <w:szCs w:val="19"/>
              </w:rPr>
              <w:t xml:space="preserve">Free</w:t>
            </w:r>
          </w:p>
        </w:tc>
      </w:tr>
      <w:tr>
        <w:trPr>
          <w:tblHeader w:val="false"/>
        </w:trPr>
        <w:tc>
          <w:tcPr>
            <w:tcW w:type="dxa" w:w="3200"/>
          </w:tcPr>
          <w:p>
            <w:pPr>
              <w:spacing w:after="60" w:before="60"/>
            </w:pPr>
            <w:r>
              <w:rPr>
                <w:b w:val="false"/>
                <w:bCs w:val="false"/>
                <w:color w:val="000000"/>
                <w:sz w:val="19"/>
                <w:szCs w:val="19"/>
              </w:rPr>
              <w:t xml:space="preserve">Push notifications</w:t>
            </w:r>
          </w:p>
        </w:tc>
        <w:tc>
          <w:tcPr>
            <w:tcW w:type="dxa" w:w="2800"/>
          </w:tcPr>
          <w:p>
            <w:pPr>
              <w:spacing w:after="60" w:before="60"/>
            </w:pPr>
            <w:r>
              <w:rPr>
                <w:b w:val="false"/>
                <w:bCs w:val="false"/>
                <w:color w:val="000000"/>
                <w:sz w:val="19"/>
                <w:szCs w:val="19"/>
              </w:rPr>
              <w:t xml:space="preserve">Firebase FCM</w:t>
            </w:r>
          </w:p>
        </w:tc>
        <w:tc>
          <w:tcPr>
            <w:tcW w:type="dxa" w:w="3200"/>
          </w:tcPr>
          <w:p>
            <w:pPr>
              <w:spacing w:after="60" w:before="60"/>
            </w:pPr>
            <w:r>
              <w:rPr>
                <w:b w:val="false"/>
                <w:bCs w:val="false"/>
                <w:color w:val="000000"/>
                <w:sz w:val="19"/>
                <w:szCs w:val="19"/>
              </w:rPr>
              <w:t xml:space="preserve">Free (unlimited)</w:t>
            </w:r>
          </w:p>
        </w:tc>
      </w:tr>
      <w:tr>
        <w:trPr>
          <w:tblHeader w:val="false"/>
        </w:trPr>
        <w:tc>
          <w:tcPr>
            <w:tcW w:type="dxa" w:w="3200"/>
            <w:shd w:fill="F2F3F4" w:color="auto" w:val="clear"/>
          </w:tcPr>
          <w:p>
            <w:pPr>
              <w:spacing w:after="60" w:before="60"/>
            </w:pPr>
            <w:r>
              <w:rPr>
                <w:b w:val="false"/>
                <w:bCs w:val="false"/>
                <w:color w:val="000000"/>
                <w:sz w:val="19"/>
                <w:szCs w:val="19"/>
              </w:rPr>
              <w:t xml:space="preserve">SMS alerts</w:t>
            </w:r>
          </w:p>
        </w:tc>
        <w:tc>
          <w:tcPr>
            <w:tcW w:type="dxa" w:w="2800"/>
            <w:shd w:fill="F2F3F4" w:color="auto" w:val="clear"/>
          </w:tcPr>
          <w:p>
            <w:pPr>
              <w:spacing w:after="60" w:before="60"/>
            </w:pPr>
            <w:r>
              <w:rPr>
                <w:b w:val="false"/>
                <w:bCs w:val="false"/>
                <w:color w:val="000000"/>
                <w:sz w:val="19"/>
                <w:szCs w:val="19"/>
              </w:rPr>
              <w:t xml:space="preserve">Twilio India</w:t>
            </w:r>
          </w:p>
        </w:tc>
        <w:tc>
          <w:tcPr>
            <w:tcW w:type="dxa" w:w="3200"/>
            <w:shd w:fill="F2F3F4" w:color="auto" w:val="clear"/>
          </w:tcPr>
          <w:p>
            <w:pPr>
              <w:spacing w:after="60" w:before="60"/>
            </w:pPr>
            <w:r>
              <w:rPr>
                <w:b w:val="false"/>
                <w:bCs w:val="false"/>
                <w:color w:val="000000"/>
                <w:sz w:val="19"/>
                <w:szCs w:val="19"/>
              </w:rPr>
              <w:t xml:space="preserve">$0.083/SMS (demo: ~$0–$5)</w:t>
            </w:r>
          </w:p>
        </w:tc>
      </w:tr>
      <w:tr>
        <w:trPr>
          <w:tblHeader w:val="false"/>
        </w:trPr>
        <w:tc>
          <w:tcPr>
            <w:tcW w:type="dxa" w:w="3200"/>
          </w:tcPr>
          <w:p>
            <w:pPr>
              <w:spacing w:after="60" w:before="60"/>
            </w:pPr>
            <w:r>
              <w:rPr>
                <w:b w:val="false"/>
                <w:bCs w:val="false"/>
                <w:color w:val="000000"/>
                <w:sz w:val="19"/>
                <w:szCs w:val="19"/>
              </w:rPr>
              <w:t xml:space="preserve">Maps / Tiles</w:t>
            </w:r>
          </w:p>
        </w:tc>
        <w:tc>
          <w:tcPr>
            <w:tcW w:type="dxa" w:w="2800"/>
          </w:tcPr>
          <w:p>
            <w:pPr>
              <w:spacing w:after="60" w:before="60"/>
            </w:pPr>
            <w:r>
              <w:rPr>
                <w:b w:val="false"/>
                <w:bCs w:val="false"/>
                <w:color w:val="000000"/>
                <w:sz w:val="19"/>
                <w:szCs w:val="19"/>
              </w:rPr>
              <w:t xml:space="preserve">OpenStreetMap</w:t>
            </w:r>
          </w:p>
        </w:tc>
        <w:tc>
          <w:tcPr>
            <w:tcW w:type="dxa" w:w="3200"/>
          </w:tcPr>
          <w:p>
            <w:pPr>
              <w:spacing w:after="60" w:before="60"/>
            </w:pPr>
            <w:r>
              <w:rPr>
                <w:b w:val="false"/>
                <w:bCs w:val="false"/>
                <w:color w:val="000000"/>
                <w:sz w:val="19"/>
                <w:szCs w:val="19"/>
              </w:rPr>
              <w:t xml:space="preserve">Free</w:t>
            </w:r>
          </w:p>
        </w:tc>
      </w:tr>
      <w:tr>
        <w:trPr>
          <w:tblHeader w:val="false"/>
        </w:trPr>
        <w:tc>
          <w:tcPr>
            <w:tcW w:type="dxa" w:w="3200"/>
            <w:shd w:fill="F2F3F4" w:color="auto" w:val="clear"/>
          </w:tcPr>
          <w:p>
            <w:pPr>
              <w:spacing w:after="60" w:before="60"/>
            </w:pPr>
            <w:r>
              <w:rPr>
                <w:b w:val="false"/>
                <w:bCs w:val="false"/>
                <w:color w:val="000000"/>
                <w:sz w:val="19"/>
                <w:szCs w:val="19"/>
              </w:rPr>
              <w:t xml:space="preserve">Terrain DEM</w:t>
            </w:r>
          </w:p>
        </w:tc>
        <w:tc>
          <w:tcPr>
            <w:tcW w:type="dxa" w:w="2800"/>
            <w:shd w:fill="F2F3F4" w:color="auto" w:val="clear"/>
          </w:tcPr>
          <w:p>
            <w:pPr>
              <w:spacing w:after="60" w:before="60"/>
            </w:pPr>
            <w:r>
              <w:rPr>
                <w:b w:val="false"/>
                <w:bCs w:val="false"/>
                <w:color w:val="000000"/>
                <w:sz w:val="19"/>
                <w:szCs w:val="19"/>
              </w:rPr>
              <w:t xml:space="preserve">Copernicus / SRTM</w:t>
            </w:r>
          </w:p>
        </w:tc>
        <w:tc>
          <w:tcPr>
            <w:tcW w:type="dxa" w:w="3200"/>
            <w:shd w:fill="F2F3F4" w:color="auto" w:val="clear"/>
          </w:tcPr>
          <w:p>
            <w:pPr>
              <w:spacing w:after="60" w:before="60"/>
            </w:pPr>
            <w:r>
              <w:rPr>
                <w:b w:val="false"/>
                <w:bCs w:val="false"/>
                <w:color w:val="000000"/>
                <w:sz w:val="19"/>
                <w:szCs w:val="19"/>
              </w:rPr>
              <w:t xml:space="preserve">Free (one-time download)</w:t>
            </w:r>
          </w:p>
        </w:tc>
      </w:tr>
      <w:tr>
        <w:trPr>
          <w:tblHeader w:val="false"/>
        </w:trPr>
        <w:tc>
          <w:tcPr>
            <w:tcW w:type="dxa" w:w="3200"/>
          </w:tcPr>
          <w:p>
            <w:pPr>
              <w:spacing w:after="60" w:before="60"/>
            </w:pPr>
            <w:r>
              <w:rPr>
                <w:b w:val="false"/>
                <w:bCs w:val="false"/>
                <w:color w:val="000000"/>
                <w:sz w:val="19"/>
                <w:szCs w:val="19"/>
              </w:rPr>
              <w:t xml:space="preserve">TOTAL (Hackathon MVP)</w:t>
            </w:r>
          </w:p>
        </w:tc>
        <w:tc>
          <w:tcPr>
            <w:tcW w:type="dxa" w:w="2800"/>
          </w:tcPr>
          <w:p>
            <w:pPr>
              <w:spacing w:after="60" w:before="60"/>
            </w:pPr>
            <w:r>
              <w:rPr>
                <w:b w:val="false"/>
                <w:bCs w:val="false"/>
                <w:color w:val="000000"/>
                <w:sz w:val="19"/>
                <w:szCs w:val="19"/>
              </w:rPr>
              <w:t xml:space="preserve"/>
            </w:r>
          </w:p>
        </w:tc>
        <w:tc>
          <w:tcPr>
            <w:tcW w:type="dxa" w:w="3200"/>
          </w:tcPr>
          <w:p>
            <w:pPr>
              <w:spacing w:after="60" w:before="60"/>
            </w:pPr>
            <w:r>
              <w:rPr>
                <w:b w:val="false"/>
                <w:bCs w:val="false"/>
                <w:color w:val="1E8449"/>
                <w:sz w:val="19"/>
                <w:szCs w:val="19"/>
              </w:rPr>
              <w:t xml:space="preserve">~$0–$10/month</w:t>
            </w:r>
          </w:p>
        </w:tc>
      </w:tr>
    </w:tbl>
    <w:p>
      <w:pPr>
        <w:spacing w:after="60" w:before="60"/>
      </w:pPr>
    </w:p>
    <w:p>
      <w:pPr>
        <w:pStyle w:val="Heading2"/>
        <w:spacing w:after="80" w:before="240"/>
      </w:pPr>
      <w:r>
        <w:rPr>
          <w:b/>
          <w:bCs/>
          <w:color w:val="2471A3"/>
          <w:sz w:val="24"/>
          <w:szCs w:val="24"/>
        </w:rPr>
        <w:t xml:space="preserve">5.2 Post-Hackathon Production (Estimate)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1A2B4A" w:color="auto" w:val="clear"/>
          </w:tcPr>
          <w:p>
            <w:pPr>
              <w:spacing w:after="60" w:before="60"/>
            </w:pPr>
            <w:r>
              <w:rPr>
                <w:b/>
                <w:bCs/>
                <w:color w:val="FFFFFF"/>
                <w:sz w:val="19"/>
                <w:szCs w:val="19"/>
              </w:rPr>
              <w:t xml:space="preserve">Component</w:t>
            </w:r>
          </w:p>
        </w:tc>
        <w:tc>
          <w:tcPr>
            <w:tcW w:type="dxa" w:w="2800"/>
            <w:shd w:fill="1A2B4A" w:color="auto" w:val="clear"/>
          </w:tcPr>
          <w:p>
            <w:pPr>
              <w:spacing w:after="60" w:before="60"/>
            </w:pPr>
            <w:r>
              <w:rPr>
                <w:b/>
                <w:bCs/>
                <w:color w:val="FFFFFF"/>
                <w:sz w:val="19"/>
                <w:szCs w:val="19"/>
              </w:rPr>
              <w:t xml:space="preserve">Service</w:t>
            </w:r>
          </w:p>
        </w:tc>
        <w:tc>
          <w:tcPr>
            <w:tcW w:type="dxa" w:w="3200"/>
            <w:shd w:fill="1A2B4A" w:color="auto" w:val="clear"/>
          </w:tcPr>
          <w:p>
            <w:pPr>
              <w:spacing w:after="60" w:before="60"/>
            </w:pPr>
            <w:r>
              <w:rPr>
                <w:b/>
                <w:bCs/>
                <w:color w:val="FFFFFF"/>
                <w:sz w:val="19"/>
                <w:szCs w:val="19"/>
              </w:rPr>
              <w:t xml:space="preserve">Monthly Cost</w:t>
            </w:r>
          </w:p>
        </w:tc>
      </w:tr>
      <w:tr>
        <w:trPr>
          <w:tblHeader w:val="false"/>
        </w:trPr>
        <w:tc>
          <w:tcPr>
            <w:tcW w:type="dxa" w:w="3200"/>
          </w:tcPr>
          <w:p>
            <w:pPr>
              <w:spacing w:after="60" w:before="60"/>
            </w:pPr>
            <w:r>
              <w:rPr>
                <w:b w:val="false"/>
                <w:bCs w:val="false"/>
                <w:color w:val="000000"/>
                <w:sz w:val="19"/>
                <w:szCs w:val="19"/>
              </w:rPr>
              <w:t xml:space="preserve">Database</w:t>
            </w:r>
          </w:p>
        </w:tc>
        <w:tc>
          <w:tcPr>
            <w:tcW w:type="dxa" w:w="2800"/>
          </w:tcPr>
          <w:p>
            <w:pPr>
              <w:spacing w:after="60" w:before="60"/>
            </w:pPr>
            <w:r>
              <w:rPr>
                <w:b w:val="false"/>
                <w:bCs w:val="false"/>
                <w:color w:val="000000"/>
                <w:sz w:val="19"/>
                <w:szCs w:val="19"/>
              </w:rPr>
              <w:t xml:space="preserve">Supabase Pro</w:t>
            </w:r>
          </w:p>
        </w:tc>
        <w:tc>
          <w:tcPr>
            <w:tcW w:type="dxa" w:w="3200"/>
          </w:tcPr>
          <w:p>
            <w:pPr>
              <w:spacing w:after="60" w:before="60"/>
            </w:pPr>
            <w:r>
              <w:rPr>
                <w:b w:val="false"/>
                <w:bCs w:val="false"/>
                <w:color w:val="000000"/>
                <w:sz w:val="19"/>
                <w:szCs w:val="19"/>
              </w:rPr>
              <w:t xml:space="preserve">$25/month</w:t>
            </w:r>
          </w:p>
        </w:tc>
      </w:tr>
      <w:tr>
        <w:trPr>
          <w:tblHeader w:val="false"/>
        </w:trPr>
        <w:tc>
          <w:tcPr>
            <w:tcW w:type="dxa" w:w="3200"/>
            <w:shd w:fill="F2F3F4" w:color="auto" w:val="clear"/>
          </w:tcPr>
          <w:p>
            <w:pPr>
              <w:spacing w:after="60" w:before="60"/>
            </w:pPr>
            <w:r>
              <w:rPr>
                <w:b w:val="false"/>
                <w:bCs w:val="false"/>
                <w:color w:val="000000"/>
                <w:sz w:val="19"/>
                <w:szCs w:val="19"/>
              </w:rPr>
              <w:t xml:space="preserve">Backend (always-on)</w:t>
            </w:r>
          </w:p>
        </w:tc>
        <w:tc>
          <w:tcPr>
            <w:tcW w:type="dxa" w:w="2800"/>
            <w:shd w:fill="F2F3F4" w:color="auto" w:val="clear"/>
          </w:tcPr>
          <w:p>
            <w:pPr>
              <w:spacing w:after="60" w:before="60"/>
            </w:pPr>
            <w:r>
              <w:rPr>
                <w:b w:val="false"/>
                <w:bCs w:val="false"/>
                <w:color w:val="000000"/>
                <w:sz w:val="19"/>
                <w:szCs w:val="19"/>
              </w:rPr>
              <w:t xml:space="preserve">Railway Pro / Render Paid</w:t>
            </w:r>
          </w:p>
        </w:tc>
        <w:tc>
          <w:tcPr>
            <w:tcW w:type="dxa" w:w="3200"/>
            <w:shd w:fill="F2F3F4" w:color="auto" w:val="clear"/>
          </w:tcPr>
          <w:p>
            <w:pPr>
              <w:spacing w:after="60" w:before="60"/>
            </w:pPr>
            <w:r>
              <w:rPr>
                <w:b w:val="false"/>
                <w:bCs w:val="false"/>
                <w:color w:val="000000"/>
                <w:sz w:val="19"/>
                <w:szCs w:val="19"/>
              </w:rPr>
              <w:t xml:space="preserve">$5–20/month</w:t>
            </w:r>
          </w:p>
        </w:tc>
      </w:tr>
      <w:tr>
        <w:trPr>
          <w:tblHeader w:val="false"/>
        </w:trPr>
        <w:tc>
          <w:tcPr>
            <w:tcW w:type="dxa" w:w="3200"/>
          </w:tcPr>
          <w:p>
            <w:pPr>
              <w:spacing w:after="60" w:before="60"/>
            </w:pPr>
            <w:r>
              <w:rPr>
                <w:b w:val="false"/>
                <w:bCs w:val="false"/>
                <w:color w:val="000000"/>
                <w:sz w:val="19"/>
                <w:szCs w:val="19"/>
              </w:rPr>
              <w:t xml:space="preserve">SMS alerts (bulk, flood season)</w:t>
            </w:r>
          </w:p>
        </w:tc>
        <w:tc>
          <w:tcPr>
            <w:tcW w:type="dxa" w:w="2800"/>
          </w:tcPr>
          <w:p>
            <w:pPr>
              <w:spacing w:after="60" w:before="60"/>
            </w:pPr>
            <w:r>
              <w:rPr>
                <w:b w:val="false"/>
                <w:bCs w:val="false"/>
                <w:color w:val="000000"/>
                <w:sz w:val="19"/>
                <w:szCs w:val="19"/>
              </w:rPr>
              <w:t xml:space="preserve">Twilio India</w:t>
            </w:r>
          </w:p>
        </w:tc>
        <w:tc>
          <w:tcPr>
            <w:tcW w:type="dxa" w:w="3200"/>
          </w:tcPr>
          <w:p>
            <w:pPr>
              <w:spacing w:after="60" w:before="60"/>
            </w:pPr>
            <w:r>
              <w:rPr>
                <w:b w:val="false"/>
                <w:bCs w:val="false"/>
                <w:color w:val="000000"/>
                <w:sz w:val="19"/>
                <w:szCs w:val="19"/>
              </w:rPr>
              <w:t xml:space="preserve">$80–$500+/month at scale</w:t>
            </w:r>
          </w:p>
        </w:tc>
      </w:tr>
      <w:tr>
        <w:trPr>
          <w:tblHeader w:val="false"/>
        </w:trPr>
        <w:tc>
          <w:tcPr>
            <w:tcW w:type="dxa" w:w="3200"/>
            <w:shd w:fill="F2F3F4" w:color="auto" w:val="clear"/>
          </w:tcPr>
          <w:p>
            <w:pPr>
              <w:spacing w:after="60" w:before="60"/>
            </w:pPr>
            <w:r>
              <w:rPr>
                <w:b w:val="false"/>
                <w:bCs w:val="false"/>
                <w:color w:val="000000"/>
                <w:sz w:val="19"/>
                <w:szCs w:val="19"/>
              </w:rPr>
              <w:t xml:space="preserve">TOTAL (production, lean)</w:t>
            </w:r>
          </w:p>
        </w:tc>
        <w:tc>
          <w:tcPr>
            <w:tcW w:type="dxa" w:w="2800"/>
            <w:shd w:fill="F2F3F4" w:color="auto" w:val="clear"/>
          </w:tcPr>
          <w:p>
            <w:pPr>
              <w:spacing w:after="60" w:before="60"/>
            </w:pPr>
            <w:r>
              <w:rPr>
                <w:b w:val="false"/>
                <w:bCs w:val="false"/>
                <w:color w:val="000000"/>
                <w:sz w:val="19"/>
                <w:szCs w:val="19"/>
              </w:rPr>
              <w:t xml:space="preserve"/>
            </w:r>
          </w:p>
        </w:tc>
        <w:tc>
          <w:tcPr>
            <w:tcW w:type="dxa" w:w="3200"/>
            <w:shd w:fill="F2F3F4" w:color="auto" w:val="clear"/>
          </w:tcPr>
          <w:p>
            <w:pPr>
              <w:spacing w:after="60" w:before="60"/>
            </w:pPr>
            <w:r>
              <w:rPr>
                <w:b w:val="false"/>
                <w:bCs w:val="false"/>
                <w:color w:val="D35400"/>
                <w:sz w:val="19"/>
                <w:szCs w:val="19"/>
              </w:rPr>
              <w:t xml:space="preserve">~$110–$600/month</w:t>
            </w:r>
          </w:p>
        </w:tc>
      </w:tr>
    </w:tbl>
    <w:p>
      <w:pPr>
        <w:spacing w:after="60" w:before="60"/>
      </w:pPr>
      <w:r>
        <w:rPr>
          <w:b/>
          <w:bCs/>
          <w:sz w:val="20"/>
          <w:szCs w:val="20"/>
        </w:rPr>
        <w:t xml:space="preserve">Note: </w:t>
      </w:r>
      <w:r>
        <w:rPr>
          <w:sz w:val="20"/>
          <w:szCs w:val="20"/>
        </w:rPr>
        <w:t xml:space="preserve">SMS at scale is the largest cost driver. Indian operators (DLT-registered) cost ₹0.15–0.40/SMS which is significantly cheaper than Twilio for production. Consider Gupshup or MSG91 for India-specific SMS at production scale.</w:t>
      </w:r>
    </w:p>
    <w:p>
      <w:pPr>
        <w:pBdr>
          <w:bottom w:val="single" w:color="CCCCCC" w:sz="6"/>
        </w:pBdr>
        <w:spacing w:after="120" w:before="120"/>
      </w:pPr>
      <w:r>
        <w:t xml:space="preserve"/>
      </w:r>
    </w:p>
    <w:p>
      <w:pPr>
        <w:pStyle w:val="Heading1"/>
        <w:spacing w:after="120" w:before="360"/>
      </w:pPr>
      <w:r>
        <w:rPr>
          <w:b/>
          <w:bCs/>
          <w:color w:val="1A2B4A"/>
          <w:sz w:val="28"/>
          <w:szCs w:val="28"/>
        </w:rPr>
        <w:t xml:space="preserve">6. Legal &amp; Data Access Concerns</w:t>
      </w:r>
    </w:p>
    <w:p>
      <w:pPr>
        <w:pStyle w:val="Heading2"/>
        <w:spacing w:after="80" w:before="240"/>
      </w:pPr>
      <w:r>
        <w:rPr>
          <w:b/>
          <w:bCs/>
          <w:color w:val="2471A3"/>
          <w:sz w:val="24"/>
          <w:szCs w:val="24"/>
        </w:rPr>
        <w:t xml:space="preserve">6.1 Data Licensing</w:t>
      </w:r>
    </w:p>
    <w:p>
      <w:pPr>
        <w:pStyle w:val="ListParagraph"/>
        <w:numPr>
          <w:ilvl w:val="0"/>
          <w:numId w:val="1"/>
        </w:numPr>
        <w:spacing w:after="40" w:before="40"/>
      </w:pPr>
      <w:r>
        <w:rPr>
          <w:b w:val="false"/>
          <w:bCs w:val="false"/>
          <w:color w:val="000000"/>
          <w:sz w:val="20"/>
          <w:szCs w:val="20"/>
        </w:rPr>
        <w:t xml:space="preserve">IMD data: Government of India Open Data license — requires attribution. Permitted for non-commercial research and public good projects like SIH.</w:t>
      </w:r>
    </w:p>
    <w:p>
      <w:pPr>
        <w:pStyle w:val="ListParagraph"/>
        <w:numPr>
          <w:ilvl w:val="0"/>
          <w:numId w:val="1"/>
        </w:numPr>
        <w:spacing w:after="40" w:before="40"/>
      </w:pPr>
      <w:r>
        <w:rPr>
          <w:b w:val="false"/>
          <w:bCs w:val="false"/>
          <w:color w:val="000000"/>
          <w:sz w:val="20"/>
          <w:szCs w:val="20"/>
        </w:rPr>
        <w:t xml:space="preserve">CWC/India-WRIS: Web scraping is a grey area. The portal is public-facing, but aggressive scraping may violate their ToS. Limit scrape frequency to once per hour.</w:t>
      </w:r>
    </w:p>
    <w:p>
      <w:pPr>
        <w:pStyle w:val="ListParagraph"/>
        <w:numPr>
          <w:ilvl w:val="0"/>
          <w:numId w:val="1"/>
        </w:numPr>
        <w:spacing w:after="40" w:before="40"/>
      </w:pPr>
      <w:r>
        <w:rPr>
          <w:b w:val="false"/>
          <w:bCs w:val="false"/>
          <w:color w:val="000000"/>
          <w:sz w:val="20"/>
          <w:szCs w:val="20"/>
        </w:rPr>
        <w:t xml:space="preserve">NASA GPM IMERG: Freely available for all uses including commercial. Cite as per NASA guidelines.</w:t>
      </w:r>
    </w:p>
    <w:p>
      <w:pPr>
        <w:pStyle w:val="ListParagraph"/>
        <w:numPr>
          <w:ilvl w:val="0"/>
          <w:numId w:val="1"/>
        </w:numPr>
        <w:spacing w:after="40" w:before="40"/>
      </w:pPr>
      <w:r>
        <w:rPr>
          <w:b w:val="false"/>
          <w:bCs w:val="false"/>
          <w:color w:val="000000"/>
          <w:sz w:val="20"/>
          <w:szCs w:val="20"/>
        </w:rPr>
        <w:t xml:space="preserve">Copernicus DEM: Free for any use under the Copernicus Data and Information Policy.</w:t>
      </w:r>
    </w:p>
    <w:p>
      <w:pPr>
        <w:pStyle w:val="ListParagraph"/>
        <w:numPr>
          <w:ilvl w:val="0"/>
          <w:numId w:val="1"/>
        </w:numPr>
        <w:spacing w:after="40" w:before="40"/>
      </w:pPr>
      <w:r>
        <w:rPr>
          <w:b w:val="false"/>
          <w:bCs w:val="false"/>
          <w:color w:val="000000"/>
          <w:sz w:val="20"/>
          <w:szCs w:val="20"/>
        </w:rPr>
        <w:t xml:space="preserve">OpenStreetMap: ODbL license — attribution required, derivative works must share-alike.</w:t>
      </w:r>
    </w:p>
    <w:p>
      <w:pPr>
        <w:pStyle w:val="ListParagraph"/>
        <w:numPr>
          <w:ilvl w:val="0"/>
          <w:numId w:val="1"/>
        </w:numPr>
        <w:spacing w:after="40" w:before="40"/>
      </w:pPr>
      <w:r>
        <w:rPr>
          <w:b w:val="false"/>
          <w:bCs w:val="false"/>
          <w:color w:val="000000"/>
          <w:sz w:val="20"/>
          <w:szCs w:val="20"/>
        </w:rPr>
        <w:t xml:space="preserve">WorldPop / HRSL: Creative Commons Attribution 4.0 — free with attribution.</w:t>
      </w:r>
    </w:p>
    <w:p>
      <w:pPr>
        <w:pStyle w:val="Heading2"/>
        <w:spacing w:after="80" w:before="240"/>
      </w:pPr>
      <w:r>
        <w:rPr>
          <w:b/>
          <w:bCs/>
          <w:color w:val="2471A3"/>
          <w:sz w:val="24"/>
          <w:szCs w:val="24"/>
        </w:rPr>
        <w:t xml:space="preserve">6.2 Alert System Compliance</w:t>
      </w:r>
    </w:p>
    <w:p>
      <w:pPr>
        <w:pStyle w:val="ListParagraph"/>
        <w:numPr>
          <w:ilvl w:val="0"/>
          <w:numId w:val="1"/>
        </w:numPr>
        <w:spacing w:after="40" w:before="40"/>
      </w:pPr>
      <w:r>
        <w:rPr>
          <w:b w:val="false"/>
          <w:bCs w:val="false"/>
          <w:color w:val="000000"/>
          <w:sz w:val="20"/>
          <w:szCs w:val="20"/>
        </w:rPr>
        <w:t xml:space="preserve">Twilio SMS in India requires DLT (Distributed Ledger Technology) registration under TRAI regulations. Entity registration and template pre-approval are mandatory before sending transactional or promotional SMS.</w:t>
      </w:r>
    </w:p>
    <w:p>
      <w:pPr>
        <w:pStyle w:val="ListParagraph"/>
        <w:numPr>
          <w:ilvl w:val="0"/>
          <w:numId w:val="1"/>
        </w:numPr>
        <w:spacing w:after="40" w:before="40"/>
      </w:pPr>
      <w:r>
        <w:rPr>
          <w:b w:val="false"/>
          <w:bCs w:val="false"/>
          <w:color w:val="000000"/>
          <w:sz w:val="20"/>
          <w:szCs w:val="20"/>
        </w:rPr>
        <w:t xml:space="preserve">Timeline: DLT registration can take 1–2 weeks. For the SIH demo, use Firebase FCM push instead.</w:t>
      </w:r>
    </w:p>
    <w:p>
      <w:pPr>
        <w:pStyle w:val="ListParagraph"/>
        <w:numPr>
          <w:ilvl w:val="0"/>
          <w:numId w:val="1"/>
        </w:numPr>
        <w:spacing w:after="40" w:before="40"/>
      </w:pPr>
      <w:r>
        <w:rPr>
          <w:b w:val="false"/>
          <w:bCs w:val="false"/>
          <w:color w:val="000000"/>
          <w:sz w:val="20"/>
          <w:szCs w:val="20"/>
        </w:rPr>
        <w:t xml:space="preserve">Firebase FCM: No regulatory concerns for push notifications in India.</w:t>
      </w:r>
    </w:p>
    <w:p>
      <w:pPr>
        <w:pStyle w:val="Heading2"/>
        <w:spacing w:after="80" w:before="240"/>
      </w:pPr>
      <w:r>
        <w:rPr>
          <w:b/>
          <w:bCs/>
          <w:color w:val="2471A3"/>
          <w:sz w:val="24"/>
          <w:szCs w:val="24"/>
        </w:rPr>
        <w:t xml:space="preserve">6.3 Privacy</w:t>
      </w:r>
    </w:p>
    <w:p>
      <w:pPr>
        <w:spacing w:after="60" w:before="60"/>
      </w:pPr>
      <w:r>
        <w:rPr>
          <w:sz w:val="20"/>
          <w:szCs w:val="20"/>
        </w:rPr>
        <w:t xml:space="preserve">The platform processes zone-level data, not individual user data, which significantly reduces PDPB (India's Personal Data Protection Bill) compliance burden. If citizen location tracking is added via MeshLink, explicit consent mechanisms must be implemented.</w:t>
      </w:r>
    </w:p>
    <w:p>
      <w:pPr>
        <w:pBdr>
          <w:bottom w:val="single" w:color="CCCCCC" w:sz="6"/>
        </w:pBdr>
        <w:spacing w:after="120" w:before="120"/>
      </w:pPr>
      <w:r>
        <w:t xml:space="preserve"/>
      </w:r>
    </w:p>
    <w:p>
      <w:pPr>
        <w:pStyle w:val="Heading1"/>
        <w:spacing w:after="120" w:before="360"/>
      </w:pPr>
      <w:r>
        <w:rPr>
          <w:b/>
          <w:bCs/>
          <w:color w:val="1A2B4A"/>
          <w:sz w:val="28"/>
          <w:szCs w:val="28"/>
        </w:rPr>
        <w:t xml:space="preserve">7. Key Technical Risks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shd w:fill="1A2B4A" w:color="auto" w:val="clear"/>
          </w:tcPr>
          <w:p>
            <w:pPr>
              <w:spacing w:after="60" w:before="60"/>
            </w:pPr>
            <w:r>
              <w:rPr>
                <w:b/>
                <w:bCs/>
                <w:color w:val="FFFFFF"/>
                <w:sz w:val="19"/>
                <w:szCs w:val="19"/>
              </w:rPr>
              <w:t xml:space="preserve">Risk</w:t>
            </w:r>
          </w:p>
        </w:tc>
        <w:tc>
          <w:tcPr>
            <w:tcW w:type="dxa" w:w="1200"/>
            <w:shd w:fill="1A2B4A" w:color="auto" w:val="clear"/>
          </w:tcPr>
          <w:p>
            <w:pPr>
              <w:spacing w:after="60" w:before="60"/>
            </w:pPr>
            <w:r>
              <w:rPr>
                <w:b/>
                <w:bCs/>
                <w:color w:val="FFFFFF"/>
                <w:sz w:val="19"/>
                <w:szCs w:val="19"/>
              </w:rPr>
              <w:t xml:space="preserve">Severity</w:t>
            </w:r>
          </w:p>
        </w:tc>
        <w:tc>
          <w:tcPr>
            <w:tcW w:type="dxa" w:w="1200"/>
            <w:shd w:fill="1A2B4A" w:color="auto" w:val="clear"/>
          </w:tcPr>
          <w:p>
            <w:pPr>
              <w:spacing w:after="60" w:before="60"/>
            </w:pPr>
            <w:r>
              <w:rPr>
                <w:b/>
                <w:bCs/>
                <w:color w:val="FFFFFF"/>
                <w:sz w:val="19"/>
                <w:szCs w:val="19"/>
              </w:rPr>
              <w:t xml:space="preserve">Likelihood</w:t>
            </w:r>
          </w:p>
        </w:tc>
        <w:tc>
          <w:tcPr>
            <w:tcW w:type="dxa" w:w="3600"/>
            <w:shd w:fill="1A2B4A" w:color="auto" w:val="clear"/>
          </w:tcPr>
          <w:p>
            <w:pPr>
              <w:spacing w:after="60" w:before="60"/>
            </w:pPr>
            <w:r>
              <w:rPr>
                <w:b/>
                <w:bCs/>
                <w:color w:val="FFFFFF"/>
                <w:sz w:val="19"/>
                <w:szCs w:val="19"/>
              </w:rPr>
              <w:t xml:space="preserve">Mitigation</w:t>
            </w:r>
          </w:p>
        </w:tc>
      </w:tr>
      <w:tr>
        <w:trPr>
          <w:tblHeader w:val="false"/>
        </w:trPr>
        <w:tc>
          <w:tcPr>
            <w:tcW w:type="dxa" w:w="3200"/>
          </w:tcPr>
          <w:p>
            <w:pPr>
              <w:spacing w:after="60" w:before="60"/>
            </w:pPr>
            <w:r>
              <w:rPr>
                <w:b w:val="false"/>
                <w:bCs w:val="false"/>
                <w:color w:val="000000"/>
                <w:sz w:val="19"/>
                <w:szCs w:val="19"/>
              </w:rPr>
              <w:t xml:space="preserve">IMD API access blocked for hackathon team</w:t>
            </w:r>
          </w:p>
        </w:tc>
        <w:tc>
          <w:tcPr>
            <w:tcW w:type="dxa" w:w="1200"/>
          </w:tcPr>
          <w:p>
            <w:pPr>
              <w:spacing w:after="60" w:before="60"/>
            </w:pPr>
            <w:r>
              <w:rPr>
                <w:b w:val="false"/>
                <w:bCs w:val="false"/>
                <w:color w:val="C0392B"/>
                <w:sz w:val="19"/>
                <w:szCs w:val="19"/>
              </w:rPr>
              <w:t xml:space="preserve">High</w:t>
            </w:r>
          </w:p>
        </w:tc>
        <w:tc>
          <w:tcPr>
            <w:tcW w:type="dxa" w:w="1200"/>
          </w:tcPr>
          <w:p>
            <w:pPr>
              <w:spacing w:after="60" w:before="60"/>
            </w:pPr>
            <w:r>
              <w:rPr>
                <w:b w:val="false"/>
                <w:bCs w:val="false"/>
                <w:color w:val="C0392B"/>
                <w:sz w:val="19"/>
                <w:szCs w:val="19"/>
              </w:rPr>
              <w:t xml:space="preserve">High</w:t>
            </w:r>
          </w:p>
        </w:tc>
        <w:tc>
          <w:tcPr>
            <w:tcW w:type="dxa" w:w="3600"/>
          </w:tcPr>
          <w:p>
            <w:pPr>
              <w:spacing w:after="60" w:before="60"/>
            </w:pPr>
            <w:r>
              <w:rPr>
                <w:b w:val="false"/>
                <w:bCs w:val="false"/>
                <w:color w:val="000000"/>
                <w:sz w:val="19"/>
                <w:szCs w:val="19"/>
              </w:rPr>
              <w:t xml:space="preserve">Switch to Open-Meteo immediately. Contact IMD as parallel track.</w:t>
            </w:r>
          </w:p>
        </w:tc>
      </w:tr>
      <w:tr>
        <w:trPr>
          <w:tblHeader w:val="false"/>
        </w:trPr>
        <w:tc>
          <w:tcPr>
            <w:tcW w:type="dxa" w:w="3200"/>
            <w:shd w:fill="F2F3F4" w:color="auto" w:val="clear"/>
          </w:tcPr>
          <w:p>
            <w:pPr>
              <w:spacing w:after="60" w:before="60"/>
            </w:pPr>
            <w:r>
              <w:rPr>
                <w:b w:val="false"/>
                <w:bCs w:val="false"/>
                <w:color w:val="000000"/>
                <w:sz w:val="19"/>
                <w:szCs w:val="19"/>
              </w:rPr>
              <w:t xml:space="preserve">CWC scraper breaks mid-demo</w:t>
            </w:r>
          </w:p>
        </w:tc>
        <w:tc>
          <w:tcPr>
            <w:tcW w:type="dxa" w:w="1200"/>
            <w:shd w:fill="F2F3F4" w:color="auto" w:val="clear"/>
          </w:tcPr>
          <w:p>
            <w:pPr>
              <w:spacing w:after="60" w:before="60"/>
            </w:pPr>
            <w:r>
              <w:rPr>
                <w:b w:val="false"/>
                <w:bCs w:val="false"/>
                <w:color w:val="C0392B"/>
                <w:sz w:val="19"/>
                <w:szCs w:val="19"/>
              </w:rPr>
              <w:t xml:space="preserve">High</w:t>
            </w:r>
          </w:p>
        </w:tc>
        <w:tc>
          <w:tcPr>
            <w:tcW w:type="dxa" w:w="1200"/>
            <w:shd w:fill="F2F3F4" w:color="auto" w:val="clear"/>
          </w:tcPr>
          <w:p>
            <w:pPr>
              <w:spacing w:after="60" w:before="60"/>
            </w:pPr>
            <w:r>
              <w:rPr>
                <w:b w:val="false"/>
                <w:bCs w:val="false"/>
                <w:color w:val="D35400"/>
                <w:sz w:val="19"/>
                <w:szCs w:val="19"/>
              </w:rPr>
              <w:t xml:space="preserve">Medium</w:t>
            </w:r>
          </w:p>
        </w:tc>
        <w:tc>
          <w:tcPr>
            <w:tcW w:type="dxa" w:w="3600"/>
            <w:shd w:fill="F2F3F4" w:color="auto" w:val="clear"/>
          </w:tcPr>
          <w:p>
            <w:pPr>
              <w:spacing w:after="60" w:before="60"/>
            </w:pPr>
            <w:r>
              <w:rPr>
                <w:b w:val="false"/>
                <w:bCs w:val="false"/>
                <w:color w:val="000000"/>
                <w:sz w:val="19"/>
                <w:szCs w:val="19"/>
              </w:rPr>
              <w:t xml:space="preserve">Cache last-known values. Use GloFAS as hot-standby. Mock data fallback for demo.</w:t>
            </w:r>
          </w:p>
        </w:tc>
      </w:tr>
      <w:tr>
        <w:trPr>
          <w:tblHeader w:val="false"/>
        </w:trPr>
        <w:tc>
          <w:tcPr>
            <w:tcW w:type="dxa" w:w="3200"/>
          </w:tcPr>
          <w:p>
            <w:pPr>
              <w:spacing w:after="60" w:before="60"/>
            </w:pPr>
            <w:r>
              <w:rPr>
                <w:b w:val="false"/>
                <w:bCs w:val="false"/>
                <w:color w:val="000000"/>
                <w:sz w:val="19"/>
                <w:szCs w:val="19"/>
              </w:rPr>
              <w:t xml:space="preserve">MeshLink cannot be demonstrated live</w:t>
            </w:r>
          </w:p>
        </w:tc>
        <w:tc>
          <w:tcPr>
            <w:tcW w:type="dxa" w:w="1200"/>
          </w:tcPr>
          <w:p>
            <w:pPr>
              <w:spacing w:after="60" w:before="60"/>
            </w:pPr>
            <w:r>
              <w:rPr>
                <w:b w:val="false"/>
                <w:bCs w:val="false"/>
                <w:color w:val="D35400"/>
                <w:sz w:val="19"/>
                <w:szCs w:val="19"/>
              </w:rPr>
              <w:t xml:space="preserve">Medium</w:t>
            </w:r>
          </w:p>
        </w:tc>
        <w:tc>
          <w:tcPr>
            <w:tcW w:type="dxa" w:w="1200"/>
          </w:tcPr>
          <w:p>
            <w:pPr>
              <w:spacing w:after="60" w:before="60"/>
            </w:pPr>
            <w:r>
              <w:rPr>
                <w:b w:val="false"/>
                <w:bCs w:val="false"/>
                <w:color w:val="C0392B"/>
                <w:sz w:val="19"/>
                <w:szCs w:val="19"/>
              </w:rPr>
              <w:t xml:space="preserve">Very High</w:t>
            </w:r>
          </w:p>
        </w:tc>
        <w:tc>
          <w:tcPr>
            <w:tcW w:type="dxa" w:w="3600"/>
          </w:tcPr>
          <w:p>
            <w:pPr>
              <w:spacing w:after="60" w:before="60"/>
            </w:pPr>
            <w:r>
              <w:rPr>
                <w:b w:val="false"/>
                <w:bCs w:val="false"/>
                <w:color w:val="000000"/>
                <w:sz w:val="19"/>
                <w:szCs w:val="19"/>
              </w:rPr>
              <w:t xml:space="preserve">Downscope to concept. Show architecture slide + simulated alert flow in the demo.</w:t>
            </w:r>
          </w:p>
        </w:tc>
      </w:tr>
      <w:tr>
        <w:trPr>
          <w:tblHeader w:val="false"/>
        </w:trPr>
        <w:tc>
          <w:tcPr>
            <w:tcW w:type="dxa" w:w="3200"/>
            <w:shd w:fill="F2F3F4" w:color="auto" w:val="clear"/>
          </w:tcPr>
          <w:p>
            <w:pPr>
              <w:spacing w:after="60" w:before="60"/>
            </w:pPr>
            <w:r>
              <w:rPr>
                <w:b w:val="false"/>
                <w:bCs w:val="false"/>
                <w:color w:val="000000"/>
                <w:sz w:val="19"/>
                <w:szCs w:val="19"/>
              </w:rPr>
              <w:t xml:space="preserve">Supabase free tier pauses during judging</w:t>
            </w:r>
          </w:p>
        </w:tc>
        <w:tc>
          <w:tcPr>
            <w:tcW w:type="dxa" w:w="1200"/>
            <w:shd w:fill="F2F3F4" w:color="auto" w:val="clear"/>
          </w:tcPr>
          <w:p>
            <w:pPr>
              <w:spacing w:after="60" w:before="60"/>
            </w:pPr>
            <w:r>
              <w:rPr>
                <w:b w:val="false"/>
                <w:bCs w:val="false"/>
                <w:color w:val="C0392B"/>
                <w:sz w:val="19"/>
                <w:szCs w:val="19"/>
              </w:rPr>
              <w:t xml:space="preserve">High</w:t>
            </w:r>
          </w:p>
        </w:tc>
        <w:tc>
          <w:tcPr>
            <w:tcW w:type="dxa" w:w="1200"/>
            <w:shd w:fill="F2F3F4" w:color="auto" w:val="clear"/>
          </w:tcPr>
          <w:p>
            <w:pPr>
              <w:spacing w:after="60" w:before="60"/>
            </w:pPr>
            <w:r>
              <w:rPr>
                <w:b w:val="false"/>
                <w:bCs w:val="false"/>
                <w:color w:val="D35400"/>
                <w:sz w:val="19"/>
                <w:szCs w:val="19"/>
              </w:rPr>
              <w:t xml:space="preserve">Medium</w:t>
            </w:r>
          </w:p>
        </w:tc>
        <w:tc>
          <w:tcPr>
            <w:tcW w:type="dxa" w:w="3600"/>
            <w:shd w:fill="F2F3F4" w:color="auto" w:val="clear"/>
          </w:tcPr>
          <w:p>
            <w:pPr>
              <w:spacing w:after="60" w:before="60"/>
            </w:pPr>
            <w:r>
              <w:rPr>
                <w:b w:val="false"/>
                <w:bCs w:val="false"/>
                <w:color w:val="000000"/>
                <w:sz w:val="19"/>
                <w:szCs w:val="19"/>
              </w:rPr>
              <w:t xml:space="preserve">Upgrade to Supabase Pro ($25) for the SIH demo period. Keep DB active.</w:t>
            </w:r>
          </w:p>
        </w:tc>
      </w:tr>
      <w:tr>
        <w:trPr>
          <w:tblHeader w:val="false"/>
        </w:trPr>
        <w:tc>
          <w:tcPr>
            <w:tcW w:type="dxa" w:w="3200"/>
          </w:tcPr>
          <w:p>
            <w:pPr>
              <w:spacing w:after="60" w:before="60"/>
            </w:pPr>
            <w:r>
              <w:rPr>
                <w:b w:val="false"/>
                <w:bCs w:val="false"/>
                <w:color w:val="000000"/>
                <w:sz w:val="19"/>
                <w:szCs w:val="19"/>
              </w:rPr>
              <w:t xml:space="preserve">ML model insufficient training data</w:t>
            </w:r>
          </w:p>
        </w:tc>
        <w:tc>
          <w:tcPr>
            <w:tcW w:type="dxa" w:w="1200"/>
          </w:tcPr>
          <w:p>
            <w:pPr>
              <w:spacing w:after="60" w:before="60"/>
            </w:pPr>
            <w:r>
              <w:rPr>
                <w:b w:val="false"/>
                <w:bCs w:val="false"/>
                <w:color w:val="C0392B"/>
                <w:sz w:val="19"/>
                <w:szCs w:val="19"/>
              </w:rPr>
              <w:t xml:space="preserve">High</w:t>
            </w:r>
          </w:p>
        </w:tc>
        <w:tc>
          <w:tcPr>
            <w:tcW w:type="dxa" w:w="1200"/>
          </w:tcPr>
          <w:p>
            <w:pPr>
              <w:spacing w:after="60" w:before="60"/>
            </w:pPr>
            <w:r>
              <w:rPr>
                <w:b w:val="false"/>
                <w:bCs w:val="false"/>
                <w:color w:val="D35400"/>
                <w:sz w:val="19"/>
                <w:szCs w:val="19"/>
              </w:rPr>
              <w:t xml:space="preserve">Medium</w:t>
            </w:r>
          </w:p>
        </w:tc>
        <w:tc>
          <w:tcPr>
            <w:tcW w:type="dxa" w:w="3600"/>
          </w:tcPr>
          <w:p>
            <w:pPr>
              <w:spacing w:after="60" w:before="60"/>
            </w:pPr>
            <w:r>
              <w:rPr>
                <w:b w:val="false"/>
                <w:bCs w:val="false"/>
                <w:color w:val="000000"/>
                <w:sz w:val="19"/>
                <w:szCs w:val="19"/>
              </w:rPr>
              <w:t xml:space="preserve">Use India Flood Inventory + GUARDIAN framework data. Augment with synthetic data using SMOTE.</w:t>
            </w:r>
          </w:p>
        </w:tc>
      </w:tr>
      <w:tr>
        <w:trPr>
          <w:tblHeader w:val="false"/>
        </w:trPr>
        <w:tc>
          <w:tcPr>
            <w:tcW w:type="dxa" w:w="3200"/>
            <w:shd w:fill="F2F3F4" w:color="auto" w:val="clear"/>
          </w:tcPr>
          <w:p>
            <w:pPr>
              <w:spacing w:after="60" w:before="60"/>
            </w:pPr>
            <w:r>
              <w:rPr>
                <w:b w:val="false"/>
                <w:bCs w:val="false"/>
                <w:color w:val="000000"/>
                <w:sz w:val="19"/>
                <w:szCs w:val="19"/>
              </w:rPr>
              <w:t xml:space="preserve">PostGIS spatial joins too slow for real-time</w:t>
            </w:r>
          </w:p>
        </w:tc>
        <w:tc>
          <w:tcPr>
            <w:tcW w:type="dxa" w:w="1200"/>
            <w:shd w:fill="F2F3F4" w:color="auto" w:val="clear"/>
          </w:tcPr>
          <w:p>
            <w:pPr>
              <w:spacing w:after="60" w:before="60"/>
            </w:pPr>
            <w:r>
              <w:rPr>
                <w:b w:val="false"/>
                <w:bCs w:val="false"/>
                <w:color w:val="D35400"/>
                <w:sz w:val="19"/>
                <w:szCs w:val="19"/>
              </w:rPr>
              <w:t xml:space="preserve">Medium</w:t>
            </w:r>
          </w:p>
        </w:tc>
        <w:tc>
          <w:tcPr>
            <w:tcW w:type="dxa" w:w="1200"/>
            <w:shd w:fill="F2F3F4" w:color="auto" w:val="clear"/>
          </w:tcPr>
          <w:p>
            <w:pPr>
              <w:spacing w:after="60" w:before="60"/>
            </w:pPr>
            <w:r>
              <w:rPr>
                <w:b w:val="false"/>
                <w:bCs w:val="false"/>
                <w:color w:val="1E8449"/>
                <w:sz w:val="19"/>
                <w:szCs w:val="19"/>
              </w:rPr>
              <w:t xml:space="preserve">Low</w:t>
            </w:r>
          </w:p>
        </w:tc>
        <w:tc>
          <w:tcPr>
            <w:tcW w:type="dxa" w:w="3600"/>
            <w:shd w:fill="F2F3F4" w:color="auto" w:val="clear"/>
          </w:tcPr>
          <w:p>
            <w:pPr>
              <w:spacing w:after="60" w:before="60"/>
            </w:pPr>
            <w:r>
              <w:rPr>
                <w:b w:val="false"/>
                <w:bCs w:val="false"/>
                <w:color w:val="000000"/>
                <w:sz w:val="19"/>
                <w:szCs w:val="19"/>
              </w:rPr>
              <w:t xml:space="preserve">Precompute zone risk scores every 30 min via cron job. Use PostGIS spatial indexes.</w:t>
            </w:r>
          </w:p>
        </w:tc>
      </w:tr>
      <w:tr>
        <w:trPr>
          <w:tblHeader w:val="false"/>
        </w:trPr>
        <w:tc>
          <w:tcPr>
            <w:tcW w:type="dxa" w:w="3200"/>
          </w:tcPr>
          <w:p>
            <w:pPr>
              <w:spacing w:after="60" w:before="60"/>
            </w:pPr>
            <w:r>
              <w:rPr>
                <w:b w:val="false"/>
                <w:bCs w:val="false"/>
                <w:color w:val="000000"/>
                <w:sz w:val="19"/>
                <w:szCs w:val="19"/>
              </w:rPr>
              <w:t xml:space="preserve">Vercel/Railway cold starts causing API latency</w:t>
            </w:r>
          </w:p>
        </w:tc>
        <w:tc>
          <w:tcPr>
            <w:tcW w:type="dxa" w:w="1200"/>
          </w:tcPr>
          <w:p>
            <w:pPr>
              <w:spacing w:after="60" w:before="60"/>
            </w:pPr>
            <w:r>
              <w:rPr>
                <w:b w:val="false"/>
                <w:bCs w:val="false"/>
                <w:color w:val="1E8449"/>
                <w:sz w:val="19"/>
                <w:szCs w:val="19"/>
              </w:rPr>
              <w:t xml:space="preserve">Low</w:t>
            </w:r>
          </w:p>
        </w:tc>
        <w:tc>
          <w:tcPr>
            <w:tcW w:type="dxa" w:w="1200"/>
          </w:tcPr>
          <w:p>
            <w:pPr>
              <w:spacing w:after="60" w:before="60"/>
            </w:pPr>
            <w:r>
              <w:rPr>
                <w:b w:val="false"/>
                <w:bCs w:val="false"/>
                <w:color w:val="C0392B"/>
                <w:sz w:val="19"/>
                <w:szCs w:val="19"/>
              </w:rPr>
              <w:t xml:space="preserve">High</w:t>
            </w:r>
          </w:p>
        </w:tc>
        <w:tc>
          <w:tcPr>
            <w:tcW w:type="dxa" w:w="3600"/>
          </w:tcPr>
          <w:p>
            <w:pPr>
              <w:spacing w:after="60" w:before="60"/>
            </w:pPr>
            <w:r>
              <w:rPr>
                <w:b w:val="false"/>
                <w:bCs w:val="false"/>
                <w:color w:val="000000"/>
                <w:sz w:val="19"/>
                <w:szCs w:val="19"/>
              </w:rPr>
              <w:t xml:space="preserve">Pin a paid Railway instance or use Render's always-on dyno during demo.</w:t>
            </w:r>
          </w:p>
        </w:tc>
      </w:tr>
      <w:tr>
        <w:trPr>
          <w:tblHeader w:val="false"/>
        </w:trPr>
        <w:tc>
          <w:tcPr>
            <w:tcW w:type="dxa" w:w="3200"/>
            <w:shd w:fill="F2F3F4" w:color="auto" w:val="clear"/>
          </w:tcPr>
          <w:p>
            <w:pPr>
              <w:spacing w:after="60" w:before="60"/>
            </w:pPr>
            <w:r>
              <w:rPr>
                <w:b w:val="false"/>
                <w:bCs w:val="false"/>
                <w:color w:val="000000"/>
                <w:sz w:val="19"/>
                <w:szCs w:val="19"/>
              </w:rPr>
              <w:t xml:space="preserve">DLT registration blocks SMS for demo</w:t>
            </w:r>
          </w:p>
        </w:tc>
        <w:tc>
          <w:tcPr>
            <w:tcW w:type="dxa" w:w="1200"/>
            <w:shd w:fill="F2F3F4" w:color="auto" w:val="clear"/>
          </w:tcPr>
          <w:p>
            <w:pPr>
              <w:spacing w:after="60" w:before="60"/>
            </w:pPr>
            <w:r>
              <w:rPr>
                <w:b w:val="false"/>
                <w:bCs w:val="false"/>
                <w:color w:val="D35400"/>
                <w:sz w:val="19"/>
                <w:szCs w:val="19"/>
              </w:rPr>
              <w:t xml:space="preserve">Medium</w:t>
            </w:r>
          </w:p>
        </w:tc>
        <w:tc>
          <w:tcPr>
            <w:tcW w:type="dxa" w:w="1200"/>
            <w:shd w:fill="F2F3F4" w:color="auto" w:val="clear"/>
          </w:tcPr>
          <w:p>
            <w:pPr>
              <w:spacing w:after="60" w:before="60"/>
            </w:pPr>
            <w:r>
              <w:rPr>
                <w:b w:val="false"/>
                <w:bCs w:val="false"/>
                <w:color w:val="C0392B"/>
                <w:sz w:val="19"/>
                <w:szCs w:val="19"/>
              </w:rPr>
              <w:t xml:space="preserve">High</w:t>
            </w:r>
          </w:p>
        </w:tc>
        <w:tc>
          <w:tcPr>
            <w:tcW w:type="dxa" w:w="3600"/>
            <w:shd w:fill="F2F3F4" w:color="auto" w:val="clear"/>
          </w:tcPr>
          <w:p>
            <w:pPr>
              <w:spacing w:after="60" w:before="60"/>
            </w:pPr>
            <w:r>
              <w:rPr>
                <w:b w:val="false"/>
                <w:bCs w:val="false"/>
                <w:color w:val="000000"/>
                <w:sz w:val="19"/>
                <w:szCs w:val="19"/>
              </w:rPr>
              <w:t xml:space="preserve">Use Firebase FCM as primary alert. Twilio is secondary. Start DLT registration now.</w:t>
            </w:r>
          </w:p>
        </w:tc>
      </w:tr>
    </w:tbl>
    <w:p>
      <w:pPr>
        <w:pBdr>
          <w:bottom w:val="single" w:color="CCCCCC" w:sz="6"/>
        </w:pBdr>
        <w:spacing w:after="120" w:before="120"/>
      </w:pPr>
      <w:r>
        <w:t xml:space="preserve"/>
      </w:r>
    </w:p>
    <w:p>
      <w:pPr>
        <w:pStyle w:val="Heading1"/>
        <w:spacing w:after="120" w:before="360"/>
      </w:pPr>
      <w:r>
        <w:rPr>
          <w:b/>
          <w:bCs/>
          <w:color w:val="1A2B4A"/>
          <w:sz w:val="28"/>
          <w:szCs w:val="28"/>
        </w:rPr>
        <w:t xml:space="preserve">8. Estimated Build Difficulty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shd w:fill="1A2B4A" w:color="auto" w:val="clear"/>
          </w:tcPr>
          <w:p>
            <w:pPr>
              <w:spacing w:after="60" w:before="60"/>
            </w:pPr>
            <w:r>
              <w:rPr>
                <w:b/>
                <w:bCs/>
                <w:color w:val="FFFFFF"/>
                <w:sz w:val="19"/>
                <w:szCs w:val="19"/>
              </w:rPr>
              <w:t xml:space="preserve">Feature</w:t>
            </w:r>
          </w:p>
        </w:tc>
        <w:tc>
          <w:tcPr>
            <w:tcW w:type="dxa" w:w="1400"/>
            <w:shd w:fill="1A2B4A" w:color="auto" w:val="clear"/>
          </w:tcPr>
          <w:p>
            <w:pPr>
              <w:spacing w:after="60" w:before="60"/>
            </w:pPr>
            <w:r>
              <w:rPr>
                <w:b/>
                <w:bCs/>
                <w:color w:val="FFFFFF"/>
                <w:sz w:val="19"/>
                <w:szCs w:val="19"/>
              </w:rPr>
              <w:t xml:space="preserve">Difficulty</w:t>
            </w:r>
          </w:p>
        </w:tc>
        <w:tc>
          <w:tcPr>
            <w:tcW w:type="dxa" w:w="2000"/>
            <w:shd w:fill="1A2B4A" w:color="auto" w:val="clear"/>
          </w:tcPr>
          <w:p>
            <w:pPr>
              <w:spacing w:after="60" w:before="60"/>
            </w:pPr>
            <w:r>
              <w:rPr>
                <w:b/>
                <w:bCs/>
                <w:color w:val="FFFFFF"/>
                <w:sz w:val="19"/>
                <w:szCs w:val="19"/>
              </w:rPr>
              <w:t xml:space="preserve">Realistic for SIH MVP?</w:t>
            </w:r>
          </w:p>
        </w:tc>
        <w:tc>
          <w:tcPr>
            <w:tcW w:type="dxa" w:w="2600"/>
            <w:shd w:fill="1A2B4A" w:color="auto" w:val="clear"/>
          </w:tcPr>
          <w:p>
            <w:pPr>
              <w:spacing w:after="60" w:before="60"/>
            </w:pPr>
            <w:r>
              <w:rPr>
                <w:b/>
                <w:bCs/>
                <w:color w:val="FFFFFF"/>
                <w:sz w:val="19"/>
                <w:szCs w:val="19"/>
              </w:rPr>
              <w:t xml:space="preserve">Notes</w:t>
            </w:r>
          </w:p>
        </w:tc>
      </w:tr>
      <w:tr>
        <w:trPr>
          <w:tblHeader w:val="false"/>
        </w:trPr>
        <w:tc>
          <w:tcPr>
            <w:tcW w:type="dxa" w:w="3200"/>
          </w:tcPr>
          <w:p>
            <w:pPr>
              <w:spacing w:after="60" w:before="60"/>
            </w:pPr>
            <w:r>
              <w:rPr>
                <w:b w:val="false"/>
                <w:bCs w:val="false"/>
                <w:color w:val="000000"/>
                <w:sz w:val="19"/>
                <w:szCs w:val="19"/>
              </w:rPr>
              <w:t xml:space="preserve">Data ingestion pipeline (ETL)</w:t>
            </w:r>
          </w:p>
        </w:tc>
        <w:tc>
          <w:tcPr>
            <w:tcW w:type="dxa" w:w="1400"/>
          </w:tcPr>
          <w:p>
            <w:pPr>
              <w:spacing w:after="60" w:before="60"/>
            </w:pPr>
            <w:r>
              <w:rPr>
                <w:b w:val="false"/>
                <w:bCs w:val="false"/>
                <w:color w:val="D35400"/>
                <w:sz w:val="19"/>
                <w:szCs w:val="19"/>
              </w:rPr>
              <w:t xml:space="preserve">Medium</w:t>
            </w:r>
          </w:p>
        </w:tc>
        <w:tc>
          <w:tcPr>
            <w:tcW w:type="dxa" w:w="2000"/>
          </w:tcPr>
          <w:p>
            <w:pPr>
              <w:spacing w:after="60" w:before="60"/>
            </w:pPr>
            <w:r>
              <w:rPr>
                <w:b w:val="false"/>
                <w:bCs w:val="false"/>
                <w:color w:val="1E8449"/>
                <w:sz w:val="19"/>
                <w:szCs w:val="19"/>
              </w:rPr>
              <w:t xml:space="preserve">✅ Yes</w:t>
            </w:r>
          </w:p>
        </w:tc>
        <w:tc>
          <w:tcPr>
            <w:tcW w:type="dxa" w:w="2600"/>
          </w:tcPr>
          <w:p>
            <w:pPr>
              <w:spacing w:after="60" w:before="60"/>
            </w:pPr>
            <w:r>
              <w:rPr>
                <w:b w:val="false"/>
                <w:bCs w:val="false"/>
                <w:color w:val="000000"/>
                <w:sz w:val="19"/>
                <w:szCs w:val="19"/>
              </w:rPr>
              <w:t xml:space="preserve">FastAPI + scheduled jobs. 2–3 days.</w:t>
            </w:r>
          </w:p>
        </w:tc>
      </w:tr>
      <w:tr>
        <w:trPr>
          <w:tblHeader w:val="false"/>
        </w:trPr>
        <w:tc>
          <w:tcPr>
            <w:tcW w:type="dxa" w:w="3200"/>
            <w:shd w:fill="F2F3F4" w:color="auto" w:val="clear"/>
          </w:tcPr>
          <w:p>
            <w:pPr>
              <w:spacing w:after="60" w:before="60"/>
            </w:pPr>
            <w:r>
              <w:rPr>
                <w:b w:val="false"/>
                <w:bCs w:val="false"/>
                <w:color w:val="000000"/>
                <w:sz w:val="19"/>
                <w:szCs w:val="19"/>
              </w:rPr>
              <w:t xml:space="preserve">PostGIS zone-level spatial analysis</w:t>
            </w:r>
          </w:p>
        </w:tc>
        <w:tc>
          <w:tcPr>
            <w:tcW w:type="dxa" w:w="1400"/>
            <w:shd w:fill="F2F3F4" w:color="auto" w:val="clear"/>
          </w:tcPr>
          <w:p>
            <w:pPr>
              <w:spacing w:after="60" w:before="60"/>
            </w:pPr>
            <w:r>
              <w:rPr>
                <w:b w:val="false"/>
                <w:bCs w:val="false"/>
                <w:color w:val="D35400"/>
                <w:sz w:val="19"/>
                <w:szCs w:val="19"/>
              </w:rPr>
              <w:t xml:space="preserve">Medium</w:t>
            </w:r>
          </w:p>
        </w:tc>
        <w:tc>
          <w:tcPr>
            <w:tcW w:type="dxa" w:w="2000"/>
            <w:shd w:fill="F2F3F4" w:color="auto" w:val="clear"/>
          </w:tcPr>
          <w:p>
            <w:pPr>
              <w:spacing w:after="60" w:before="60"/>
            </w:pPr>
            <w:r>
              <w:rPr>
                <w:b w:val="false"/>
                <w:bCs w:val="false"/>
                <w:color w:val="1E8449"/>
                <w:sz w:val="19"/>
                <w:szCs w:val="19"/>
              </w:rPr>
              <w:t xml:space="preserve">✅ Yes</w:t>
            </w:r>
          </w:p>
        </w:tc>
        <w:tc>
          <w:tcPr>
            <w:tcW w:type="dxa" w:w="2600"/>
            <w:shd w:fill="F2F3F4" w:color="auto" w:val="clear"/>
          </w:tcPr>
          <w:p>
            <w:pPr>
              <w:spacing w:after="60" w:before="60"/>
            </w:pPr>
            <w:r>
              <w:rPr>
                <w:b w:val="false"/>
                <w:bCs w:val="false"/>
                <w:color w:val="000000"/>
                <w:sz w:val="19"/>
                <w:szCs w:val="19"/>
              </w:rPr>
              <w:t xml:space="preserve">Pre-existing PostGIS skills needed. 2 days.</w:t>
            </w:r>
          </w:p>
        </w:tc>
      </w:tr>
      <w:tr>
        <w:trPr>
          <w:tblHeader w:val="false"/>
        </w:trPr>
        <w:tc>
          <w:tcPr>
            <w:tcW w:type="dxa" w:w="3200"/>
          </w:tcPr>
          <w:p>
            <w:pPr>
              <w:spacing w:after="60" w:before="60"/>
            </w:pPr>
            <w:r>
              <w:rPr>
                <w:b w:val="false"/>
                <w:bCs w:val="false"/>
                <w:color w:val="000000"/>
                <w:sz w:val="19"/>
                <w:szCs w:val="19"/>
              </w:rPr>
              <w:t xml:space="preserve">XGBoost + SHAP risk model</w:t>
            </w:r>
          </w:p>
        </w:tc>
        <w:tc>
          <w:tcPr>
            <w:tcW w:type="dxa" w:w="1400"/>
          </w:tcPr>
          <w:p>
            <w:pPr>
              <w:spacing w:after="60" w:before="60"/>
            </w:pPr>
            <w:r>
              <w:rPr>
                <w:b w:val="false"/>
                <w:bCs w:val="false"/>
                <w:color w:val="D35400"/>
                <w:sz w:val="19"/>
                <w:szCs w:val="19"/>
              </w:rPr>
              <w:t xml:space="preserve">Medium</w:t>
            </w:r>
          </w:p>
        </w:tc>
        <w:tc>
          <w:tcPr>
            <w:tcW w:type="dxa" w:w="2000"/>
          </w:tcPr>
          <w:p>
            <w:pPr>
              <w:spacing w:after="60" w:before="60"/>
            </w:pPr>
            <w:r>
              <w:rPr>
                <w:b w:val="false"/>
                <w:bCs w:val="false"/>
                <w:color w:val="1E8449"/>
                <w:sz w:val="19"/>
                <w:szCs w:val="19"/>
              </w:rPr>
              <w:t xml:space="preserve">✅ Yes</w:t>
            </w:r>
          </w:p>
        </w:tc>
        <w:tc>
          <w:tcPr>
            <w:tcW w:type="dxa" w:w="2600"/>
          </w:tcPr>
          <w:p>
            <w:pPr>
              <w:spacing w:after="60" w:before="60"/>
            </w:pPr>
            <w:r>
              <w:rPr>
                <w:b w:val="false"/>
                <w:bCs w:val="false"/>
                <w:color w:val="000000"/>
                <w:sz w:val="19"/>
                <w:szCs w:val="19"/>
              </w:rPr>
              <w:t xml:space="preserve">Well-documented. Training + serving: 2–3 days.</w:t>
            </w:r>
          </w:p>
        </w:tc>
      </w:tr>
      <w:tr>
        <w:trPr>
          <w:tblHeader w:val="false"/>
        </w:trPr>
        <w:tc>
          <w:tcPr>
            <w:tcW w:type="dxa" w:w="3200"/>
            <w:shd w:fill="F2F3F4" w:color="auto" w:val="clear"/>
          </w:tcPr>
          <w:p>
            <w:pPr>
              <w:spacing w:after="60" w:before="60"/>
            </w:pPr>
            <w:r>
              <w:rPr>
                <w:b w:val="false"/>
                <w:bCs w:val="false"/>
                <w:color w:val="000000"/>
                <w:sz w:val="19"/>
                <w:szCs w:val="19"/>
              </w:rPr>
              <w:t xml:space="preserve">React + Leaflet risk dashboard</w:t>
            </w:r>
          </w:p>
        </w:tc>
        <w:tc>
          <w:tcPr>
            <w:tcW w:type="dxa" w:w="1400"/>
            <w:shd w:fill="F2F3F4" w:color="auto" w:val="clear"/>
          </w:tcPr>
          <w:p>
            <w:pPr>
              <w:spacing w:after="60" w:before="60"/>
            </w:pPr>
            <w:r>
              <w:rPr>
                <w:b w:val="false"/>
                <w:bCs w:val="false"/>
                <w:color w:val="D35400"/>
                <w:sz w:val="19"/>
                <w:szCs w:val="19"/>
              </w:rPr>
              <w:t xml:space="preserve">Medium</w:t>
            </w:r>
          </w:p>
        </w:tc>
        <w:tc>
          <w:tcPr>
            <w:tcW w:type="dxa" w:w="2000"/>
            <w:shd w:fill="F2F3F4" w:color="auto" w:val="clear"/>
          </w:tcPr>
          <w:p>
            <w:pPr>
              <w:spacing w:after="60" w:before="60"/>
            </w:pPr>
            <w:r>
              <w:rPr>
                <w:b w:val="false"/>
                <w:bCs w:val="false"/>
                <w:color w:val="1E8449"/>
                <w:sz w:val="19"/>
                <w:szCs w:val="19"/>
              </w:rPr>
              <w:t xml:space="preserve">✅ Yes</w:t>
            </w:r>
          </w:p>
        </w:tc>
        <w:tc>
          <w:tcPr>
            <w:tcW w:type="dxa" w:w="2600"/>
            <w:shd w:fill="F2F3F4" w:color="auto" w:val="clear"/>
          </w:tcPr>
          <w:p>
            <w:pPr>
              <w:spacing w:after="60" w:before="60"/>
            </w:pPr>
            <w:r>
              <w:rPr>
                <w:b w:val="false"/>
                <w:bCs w:val="false"/>
                <w:color w:val="000000"/>
                <w:sz w:val="19"/>
                <w:szCs w:val="19"/>
              </w:rPr>
              <w:t xml:space="preserve">Leaflet choropleth + zone popups. 2–3 days.</w:t>
            </w:r>
          </w:p>
        </w:tc>
      </w:tr>
      <w:tr>
        <w:trPr>
          <w:tblHeader w:val="false"/>
        </w:trPr>
        <w:tc>
          <w:tcPr>
            <w:tcW w:type="dxa" w:w="3200"/>
          </w:tcPr>
          <w:p>
            <w:pPr>
              <w:spacing w:after="60" w:before="60"/>
            </w:pPr>
            <w:r>
              <w:rPr>
                <w:b w:val="false"/>
                <w:bCs w:val="false"/>
                <w:color w:val="000000"/>
                <w:sz w:val="19"/>
                <w:szCs w:val="19"/>
              </w:rPr>
              <w:t xml:space="preserve">Evacuation &amp; resource assignment</w:t>
            </w:r>
          </w:p>
        </w:tc>
        <w:tc>
          <w:tcPr>
            <w:tcW w:type="dxa" w:w="1400"/>
          </w:tcPr>
          <w:p>
            <w:pPr>
              <w:spacing w:after="60" w:before="60"/>
            </w:pPr>
            <w:r>
              <w:rPr>
                <w:b w:val="false"/>
                <w:bCs w:val="false"/>
                <w:color w:val="D35400"/>
                <w:sz w:val="19"/>
                <w:szCs w:val="19"/>
              </w:rPr>
              <w:t xml:space="preserve">Medium-High</w:t>
            </w:r>
          </w:p>
        </w:tc>
        <w:tc>
          <w:tcPr>
            <w:tcW w:type="dxa" w:w="2000"/>
          </w:tcPr>
          <w:p>
            <w:pPr>
              <w:spacing w:after="60" w:before="60"/>
            </w:pPr>
            <w:r>
              <w:rPr>
                <w:b w:val="false"/>
                <w:bCs w:val="false"/>
                <w:color w:val="D35400"/>
                <w:sz w:val="19"/>
                <w:szCs w:val="19"/>
              </w:rPr>
              <w:t xml:space="preserve">⚠️ Partial</w:t>
            </w:r>
          </w:p>
        </w:tc>
        <w:tc>
          <w:tcPr>
            <w:tcW w:type="dxa" w:w="2600"/>
          </w:tcPr>
          <w:p>
            <w:pPr>
              <w:spacing w:after="60" w:before="60"/>
            </w:pPr>
            <w:r>
              <w:rPr>
                <w:b w:val="false"/>
                <w:bCs w:val="false"/>
                <w:color w:val="000000"/>
                <w:sz w:val="19"/>
                <w:szCs w:val="19"/>
              </w:rPr>
              <w:t xml:space="preserve">NetworkX routing is feasible. Full optimization is a stretch. 3 days.</w:t>
            </w:r>
          </w:p>
        </w:tc>
      </w:tr>
      <w:tr>
        <w:trPr>
          <w:tblHeader w:val="false"/>
        </w:trPr>
        <w:tc>
          <w:tcPr>
            <w:tcW w:type="dxa" w:w="3200"/>
            <w:shd w:fill="F2F3F4" w:color="auto" w:val="clear"/>
          </w:tcPr>
          <w:p>
            <w:pPr>
              <w:spacing w:after="60" w:before="60"/>
            </w:pPr>
            <w:r>
              <w:rPr>
                <w:b w:val="false"/>
                <w:bCs w:val="false"/>
                <w:color w:val="000000"/>
                <w:sz w:val="19"/>
                <w:szCs w:val="19"/>
              </w:rPr>
              <w:t xml:space="preserve">Firebase FCM alerts</w:t>
            </w:r>
          </w:p>
        </w:tc>
        <w:tc>
          <w:tcPr>
            <w:tcW w:type="dxa" w:w="1400"/>
            <w:shd w:fill="F2F3F4" w:color="auto" w:val="clear"/>
          </w:tcPr>
          <w:p>
            <w:pPr>
              <w:spacing w:after="60" w:before="60"/>
            </w:pPr>
            <w:r>
              <w:rPr>
                <w:b w:val="false"/>
                <w:bCs w:val="false"/>
                <w:color w:val="1E8449"/>
                <w:sz w:val="19"/>
                <w:szCs w:val="19"/>
              </w:rPr>
              <w:t xml:space="preserve">Low</w:t>
            </w:r>
          </w:p>
        </w:tc>
        <w:tc>
          <w:tcPr>
            <w:tcW w:type="dxa" w:w="2000"/>
            <w:shd w:fill="F2F3F4" w:color="auto" w:val="clear"/>
          </w:tcPr>
          <w:p>
            <w:pPr>
              <w:spacing w:after="60" w:before="60"/>
            </w:pPr>
            <w:r>
              <w:rPr>
                <w:b w:val="false"/>
                <w:bCs w:val="false"/>
                <w:color w:val="1E8449"/>
                <w:sz w:val="19"/>
                <w:szCs w:val="19"/>
              </w:rPr>
              <w:t xml:space="preserve">✅ Yes</w:t>
            </w:r>
          </w:p>
        </w:tc>
        <w:tc>
          <w:tcPr>
            <w:tcW w:type="dxa" w:w="2600"/>
            <w:shd w:fill="F2F3F4" w:color="auto" w:val="clear"/>
          </w:tcPr>
          <w:p>
            <w:pPr>
              <w:spacing w:after="60" w:before="60"/>
            </w:pPr>
            <w:r>
              <w:rPr>
                <w:b w:val="false"/>
                <w:bCs w:val="false"/>
                <w:color w:val="000000"/>
                <w:sz w:val="19"/>
                <w:szCs w:val="19"/>
              </w:rPr>
              <w:t xml:space="preserve">Well-documented SDK. 1 day.</w:t>
            </w:r>
          </w:p>
        </w:tc>
      </w:tr>
      <w:tr>
        <w:trPr>
          <w:tblHeader w:val="false"/>
        </w:trPr>
        <w:tc>
          <w:tcPr>
            <w:tcW w:type="dxa" w:w="3200"/>
          </w:tcPr>
          <w:p>
            <w:pPr>
              <w:spacing w:after="60" w:before="60"/>
            </w:pPr>
            <w:r>
              <w:rPr>
                <w:b w:val="false"/>
                <w:bCs w:val="false"/>
                <w:color w:val="000000"/>
                <w:sz w:val="19"/>
                <w:szCs w:val="19"/>
              </w:rPr>
              <w:t xml:space="preserve">SHAP explainability UI</w:t>
            </w:r>
          </w:p>
        </w:tc>
        <w:tc>
          <w:tcPr>
            <w:tcW w:type="dxa" w:w="1400"/>
          </w:tcPr>
          <w:p>
            <w:pPr>
              <w:spacing w:after="60" w:before="60"/>
            </w:pPr>
            <w:r>
              <w:rPr>
                <w:b w:val="false"/>
                <w:bCs w:val="false"/>
                <w:color w:val="1E8449"/>
                <w:sz w:val="19"/>
                <w:szCs w:val="19"/>
              </w:rPr>
              <w:t xml:space="preserve">Low</w:t>
            </w:r>
          </w:p>
        </w:tc>
        <w:tc>
          <w:tcPr>
            <w:tcW w:type="dxa" w:w="2000"/>
          </w:tcPr>
          <w:p>
            <w:pPr>
              <w:spacing w:after="60" w:before="60"/>
            </w:pPr>
            <w:r>
              <w:rPr>
                <w:b w:val="false"/>
                <w:bCs w:val="false"/>
                <w:color w:val="1E8449"/>
                <w:sz w:val="19"/>
                <w:szCs w:val="19"/>
              </w:rPr>
              <w:t xml:space="preserve">✅ Yes</w:t>
            </w:r>
          </w:p>
        </w:tc>
        <w:tc>
          <w:tcPr>
            <w:tcW w:type="dxa" w:w="2600"/>
          </w:tcPr>
          <w:p>
            <w:pPr>
              <w:spacing w:after="60" w:before="60"/>
            </w:pPr>
            <w:r>
              <w:rPr>
                <w:b w:val="false"/>
                <w:bCs w:val="false"/>
                <w:color w:val="000000"/>
                <w:sz w:val="19"/>
                <w:szCs w:val="19"/>
              </w:rPr>
              <w:t xml:space="preserve">Render SHAP values as simple bar chart. 1 day.</w:t>
            </w:r>
          </w:p>
        </w:tc>
      </w:tr>
      <w:tr>
        <w:trPr>
          <w:tblHeader w:val="false"/>
        </w:trPr>
        <w:tc>
          <w:tcPr>
            <w:tcW w:type="dxa" w:w="3200"/>
            <w:shd w:fill="F2F3F4" w:color="auto" w:val="clear"/>
          </w:tcPr>
          <w:p>
            <w:pPr>
              <w:spacing w:after="60" w:before="60"/>
            </w:pPr>
            <w:r>
              <w:rPr>
                <w:b w:val="false"/>
                <w:bCs w:val="false"/>
                <w:color w:val="000000"/>
                <w:sz w:val="19"/>
                <w:szCs w:val="19"/>
              </w:rPr>
              <w:t xml:space="preserve">Digital twin scenario simulator</w:t>
            </w:r>
          </w:p>
        </w:tc>
        <w:tc>
          <w:tcPr>
            <w:tcW w:type="dxa" w:w="1400"/>
            <w:shd w:fill="F2F3F4" w:color="auto" w:val="clear"/>
          </w:tcPr>
          <w:p>
            <w:pPr>
              <w:spacing w:after="60" w:before="60"/>
            </w:pPr>
            <w:r>
              <w:rPr>
                <w:b w:val="false"/>
                <w:bCs w:val="false"/>
                <w:color w:val="D35400"/>
                <w:sz w:val="19"/>
                <w:szCs w:val="19"/>
              </w:rPr>
              <w:t xml:space="preserve">Medium</w:t>
            </w:r>
          </w:p>
        </w:tc>
        <w:tc>
          <w:tcPr>
            <w:tcW w:type="dxa" w:w="2000"/>
            <w:shd w:fill="F2F3F4" w:color="auto" w:val="clear"/>
          </w:tcPr>
          <w:p>
            <w:pPr>
              <w:spacing w:after="60" w:before="60"/>
            </w:pPr>
            <w:r>
              <w:rPr>
                <w:b w:val="false"/>
                <w:bCs w:val="false"/>
                <w:color w:val="D35400"/>
                <w:sz w:val="19"/>
                <w:szCs w:val="19"/>
              </w:rPr>
              <w:t xml:space="preserve">⚠️ Simplified</w:t>
            </w:r>
          </w:p>
        </w:tc>
        <w:tc>
          <w:tcPr>
            <w:tcW w:type="dxa" w:w="2600"/>
            <w:shd w:fill="F2F3F4" w:color="auto" w:val="clear"/>
          </w:tcPr>
          <w:p>
            <w:pPr>
              <w:spacing w:after="60" w:before="60"/>
            </w:pPr>
            <w:r>
              <w:rPr>
                <w:b w:val="false"/>
                <w:bCs w:val="false"/>
                <w:color w:val="000000"/>
                <w:sz w:val="19"/>
                <w:szCs w:val="19"/>
              </w:rPr>
              <w:t xml:space="preserve">Implement as slider-based re-prediction, not full simulation. 2 days.</w:t>
            </w:r>
          </w:p>
        </w:tc>
      </w:tr>
      <w:tr>
        <w:trPr>
          <w:tblHeader w:val="false"/>
        </w:trPr>
        <w:tc>
          <w:tcPr>
            <w:tcW w:type="dxa" w:w="3200"/>
          </w:tcPr>
          <w:p>
            <w:pPr>
              <w:spacing w:after="60" w:before="60"/>
            </w:pPr>
            <w:r>
              <w:rPr>
                <w:b w:val="false"/>
                <w:bCs w:val="false"/>
                <w:color w:val="000000"/>
                <w:sz w:val="19"/>
                <w:szCs w:val="19"/>
              </w:rPr>
              <w:t xml:space="preserve">MeshLink (Bluetooth mesh)</w:t>
            </w:r>
          </w:p>
        </w:tc>
        <w:tc>
          <w:tcPr>
            <w:tcW w:type="dxa" w:w="1400"/>
          </w:tcPr>
          <w:p>
            <w:pPr>
              <w:spacing w:after="60" w:before="60"/>
            </w:pPr>
            <w:r>
              <w:rPr>
                <w:b w:val="false"/>
                <w:bCs w:val="false"/>
                <w:color w:val="C0392B"/>
                <w:sz w:val="19"/>
                <w:szCs w:val="19"/>
              </w:rPr>
              <w:t xml:space="preserve">Very High</w:t>
            </w:r>
          </w:p>
        </w:tc>
        <w:tc>
          <w:tcPr>
            <w:tcW w:type="dxa" w:w="2000"/>
          </w:tcPr>
          <w:p>
            <w:pPr>
              <w:spacing w:after="60" w:before="60"/>
            </w:pPr>
            <w:r>
              <w:rPr>
                <w:b w:val="false"/>
                <w:bCs w:val="false"/>
                <w:color w:val="C0392B"/>
                <w:sz w:val="19"/>
                <w:szCs w:val="19"/>
              </w:rPr>
              <w:t xml:space="preserve">🔴 No (live demo)</w:t>
            </w:r>
          </w:p>
        </w:tc>
        <w:tc>
          <w:tcPr>
            <w:tcW w:type="dxa" w:w="2600"/>
          </w:tcPr>
          <w:p>
            <w:pPr>
              <w:spacing w:after="60" w:before="60"/>
            </w:pPr>
            <w:r>
              <w:rPr>
                <w:b w:val="false"/>
                <w:bCs w:val="false"/>
                <w:color w:val="000000"/>
                <w:sz w:val="19"/>
                <w:szCs w:val="19"/>
              </w:rPr>
              <w:t xml:space="preserve">Hardware + app + mesh stack. Weeks of work. Present as concept only.</w:t>
            </w:r>
          </w:p>
        </w:tc>
      </w:tr>
      <w:tr>
        <w:trPr>
          <w:tblHeader w:val="false"/>
        </w:trPr>
        <w:tc>
          <w:tcPr>
            <w:tcW w:type="dxa" w:w="3200"/>
            <w:shd w:fill="F2F3F4" w:color="auto" w:val="clear"/>
          </w:tcPr>
          <w:p>
            <w:pPr>
              <w:spacing w:after="60" w:before="60"/>
            </w:pPr>
            <w:r>
              <w:rPr>
                <w:b w:val="false"/>
                <w:bCs w:val="false"/>
                <w:color w:val="000000"/>
                <w:sz w:val="19"/>
                <w:szCs w:val="19"/>
              </w:rPr>
              <w:t xml:space="preserve">Full CI/CD + branch workflow</w:t>
            </w:r>
          </w:p>
        </w:tc>
        <w:tc>
          <w:tcPr>
            <w:tcW w:type="dxa" w:w="1400"/>
            <w:shd w:fill="F2F3F4" w:color="auto" w:val="clear"/>
          </w:tcPr>
          <w:p>
            <w:pPr>
              <w:spacing w:after="60" w:before="60"/>
            </w:pPr>
            <w:r>
              <w:rPr>
                <w:b w:val="false"/>
                <w:bCs w:val="false"/>
                <w:color w:val="1E8449"/>
                <w:sz w:val="19"/>
                <w:szCs w:val="19"/>
              </w:rPr>
              <w:t xml:space="preserve">Low</w:t>
            </w:r>
          </w:p>
        </w:tc>
        <w:tc>
          <w:tcPr>
            <w:tcW w:type="dxa" w:w="2000"/>
            <w:shd w:fill="F2F3F4" w:color="auto" w:val="clear"/>
          </w:tcPr>
          <w:p>
            <w:pPr>
              <w:spacing w:after="60" w:before="60"/>
            </w:pPr>
            <w:r>
              <w:rPr>
                <w:b w:val="false"/>
                <w:bCs w:val="false"/>
                <w:color w:val="1E8449"/>
                <w:sz w:val="19"/>
                <w:szCs w:val="19"/>
              </w:rPr>
              <w:t xml:space="preserve">✅ Yes</w:t>
            </w:r>
          </w:p>
        </w:tc>
        <w:tc>
          <w:tcPr>
            <w:tcW w:type="dxa" w:w="2600"/>
            <w:shd w:fill="F2F3F4" w:color="auto" w:val="clear"/>
          </w:tcPr>
          <w:p>
            <w:pPr>
              <w:spacing w:after="60" w:before="60"/>
            </w:pPr>
            <w:r>
              <w:rPr>
                <w:b w:val="false"/>
                <w:bCs w:val="false"/>
                <w:color w:val="000000"/>
                <w:sz w:val="19"/>
                <w:szCs w:val="19"/>
              </w:rPr>
              <w:t xml:space="preserve">GitHub Actions + Vercel auto-deploy. 0.5 days.</w:t>
            </w:r>
          </w:p>
        </w:tc>
      </w:tr>
    </w:tbl>
    <w:p>
      <w:pPr>
        <w:pBdr>
          <w:bottom w:val="single" w:color="CCCCCC" w:sz="6"/>
        </w:pBdr>
        <w:spacing w:after="120" w:before="120"/>
      </w:pPr>
      <w:r>
        <w:t xml:space="preserve"/>
      </w:r>
    </w:p>
    <w:p>
      <w:pPr>
        <w:pStyle w:val="Heading1"/>
        <w:spacing w:after="120" w:before="360"/>
      </w:pPr>
      <w:r>
        <w:rPr>
          <w:b/>
          <w:bCs/>
          <w:color w:val="1A2B4A"/>
          <w:sz w:val="28"/>
          <w:szCs w:val="28"/>
        </w:rPr>
        <w:t xml:space="preserve">9. Git / PR Workflow Recommendation</w:t>
      </w:r>
    </w:p>
    <w:p>
      <w:pPr>
        <w:spacing w:after="60" w:before="60"/>
      </w:pPr>
      <w:r>
        <w:rPr>
          <w:sz w:val="20"/>
          <w:szCs w:val="20"/>
        </w:rPr>
        <w:t xml:space="preserve">Since you mentioned wanting a PR-based approach so teammates can review and swap out your contributions — here's the recommended setup:</w:t>
      </w:r>
    </w:p>
    <w:p>
      <w:pPr>
        <w:pStyle w:val="Heading2"/>
        <w:spacing w:after="80" w:before="240"/>
      </w:pPr>
      <w:r>
        <w:rPr>
          <w:b/>
          <w:bCs/>
          <w:color w:val="2471A3"/>
          <w:sz w:val="24"/>
          <w:szCs w:val="24"/>
        </w:rPr>
        <w:t xml:space="preserve">9.1 Branch Structure</w:t>
      </w:r>
    </w:p>
    <w:p>
      <w:pPr>
        <w:pStyle w:val="ListParagraph"/>
        <w:numPr>
          <w:ilvl w:val="0"/>
          <w:numId w:val="1"/>
        </w:numPr>
        <w:spacing w:after="40" w:before="40"/>
      </w:pPr>
      <w:r>
        <w:rPr>
          <w:b w:val="false"/>
          <w:bCs w:val="false"/>
          <w:color w:val="000000"/>
          <w:sz w:val="20"/>
          <w:szCs w:val="20"/>
        </w:rPr>
        <w:t xml:space="preserve">main — stable, demo-ready code only. Judges see this.</w:t>
      </w:r>
    </w:p>
    <w:p>
      <w:pPr>
        <w:pStyle w:val="ListParagraph"/>
        <w:numPr>
          <w:ilvl w:val="0"/>
          <w:numId w:val="1"/>
        </w:numPr>
        <w:spacing w:after="40" w:before="40"/>
      </w:pPr>
      <w:r>
        <w:rPr>
          <w:b w:val="false"/>
          <w:bCs w:val="false"/>
          <w:color w:val="000000"/>
          <w:sz w:val="20"/>
          <w:szCs w:val="20"/>
        </w:rPr>
        <w:t xml:space="preserve">dev — integration branch. All feature branches merge here first.</w:t>
      </w:r>
    </w:p>
    <w:p>
      <w:pPr>
        <w:pStyle w:val="ListParagraph"/>
        <w:numPr>
          <w:ilvl w:val="0"/>
          <w:numId w:val="1"/>
        </w:numPr>
        <w:spacing w:after="40" w:before="40"/>
      </w:pPr>
      <w:r>
        <w:rPr>
          <w:b w:val="false"/>
          <w:bCs w:val="false"/>
          <w:color w:val="000000"/>
          <w:sz w:val="20"/>
          <w:szCs w:val="20"/>
        </w:rPr>
        <w:t xml:space="preserve">feature/&lt;name&gt; — individual feature branches. Example: feature/wali/flood-risk-model</w:t>
      </w:r>
    </w:p>
    <w:p>
      <w:pPr>
        <w:pStyle w:val="ListParagraph"/>
        <w:numPr>
          <w:ilvl w:val="0"/>
          <w:numId w:val="1"/>
        </w:numPr>
        <w:spacing w:after="40" w:before="40"/>
      </w:pPr>
      <w:r>
        <w:rPr>
          <w:b w:val="false"/>
          <w:bCs w:val="false"/>
          <w:color w:val="000000"/>
          <w:sz w:val="20"/>
          <w:szCs w:val="20"/>
        </w:rPr>
        <w:t xml:space="preserve">hotfix/&lt;issue&gt; — for urgent bug fixes during the hackathon.</w:t>
      </w:r>
    </w:p>
    <w:p>
      <w:pPr>
        <w:pStyle w:val="Heading2"/>
        <w:spacing w:after="80" w:before="240"/>
      </w:pPr>
      <w:r>
        <w:rPr>
          <w:b/>
          <w:bCs/>
          <w:color w:val="2471A3"/>
          <w:sz w:val="24"/>
          <w:szCs w:val="24"/>
        </w:rPr>
        <w:t xml:space="preserve">9.2 PR Workflow</w:t>
      </w:r>
    </w:p>
    <w:p>
      <w:pPr>
        <w:spacing w:after="60" w:before="60"/>
      </w:pPr>
      <w:r>
        <w:rPr>
          <w:sz w:val="20"/>
          <w:szCs w:val="20"/>
        </w:rPr>
        <w:t xml:space="preserve">For each feature you build:</w:t>
      </w:r>
    </w:p>
    <w:p>
      <w:pPr>
        <w:pStyle w:val="ListParagraph"/>
        <w:numPr>
          <w:ilvl w:val="1"/>
          <w:numId w:val="1"/>
        </w:numPr>
        <w:spacing w:after="20" w:before="20"/>
      </w:pPr>
      <w:r>
        <w:rPr>
          <w:color w:val="444444"/>
          <w:sz w:val="19"/>
          <w:szCs w:val="19"/>
        </w:rPr>
        <w:t xml:space="preserve">Create your branch: git checkout -b feature/wali/flood-risk-model</w:t>
      </w:r>
    </w:p>
    <w:p>
      <w:pPr>
        <w:pStyle w:val="ListParagraph"/>
        <w:numPr>
          <w:ilvl w:val="1"/>
          <w:numId w:val="1"/>
        </w:numPr>
        <w:spacing w:after="20" w:before="20"/>
      </w:pPr>
      <w:r>
        <w:rPr>
          <w:color w:val="444444"/>
          <w:sz w:val="19"/>
          <w:szCs w:val="19"/>
        </w:rPr>
        <w:t xml:space="preserve">Commit your work with meaningful messages: git commit -m 'feat: add XGBoost risk scorer with SHAP output'</w:t>
      </w:r>
    </w:p>
    <w:p>
      <w:pPr>
        <w:pStyle w:val="ListParagraph"/>
        <w:numPr>
          <w:ilvl w:val="1"/>
          <w:numId w:val="1"/>
        </w:numPr>
        <w:spacing w:after="20" w:before="20"/>
      </w:pPr>
      <w:r>
        <w:rPr>
          <w:color w:val="444444"/>
          <w:sz w:val="19"/>
          <w:szCs w:val="19"/>
        </w:rPr>
        <w:t xml:space="preserve">Push and open a PR against dev (not main).</w:t>
      </w:r>
    </w:p>
    <w:p>
      <w:pPr>
        <w:pStyle w:val="ListParagraph"/>
        <w:numPr>
          <w:ilvl w:val="1"/>
          <w:numId w:val="1"/>
        </w:numPr>
        <w:spacing w:after="20" w:before="20"/>
      </w:pPr>
      <w:r>
        <w:rPr>
          <w:color w:val="444444"/>
          <w:sz w:val="19"/>
          <w:szCs w:val="19"/>
        </w:rPr>
        <w:t xml:space="preserve">Add a short PR description: what it does, how to test it, what to swap if they want a different approach.</w:t>
      </w:r>
    </w:p>
    <w:p>
      <w:pPr>
        <w:pStyle w:val="ListParagraph"/>
        <w:numPr>
          <w:ilvl w:val="1"/>
          <w:numId w:val="1"/>
        </w:numPr>
        <w:spacing w:after="20" w:before="20"/>
      </w:pPr>
      <w:r>
        <w:rPr>
          <w:color w:val="444444"/>
          <w:sz w:val="19"/>
          <w:szCs w:val="19"/>
        </w:rPr>
        <w:t xml:space="preserve">Tag teammates for review. They can swap your implementation by merging a different branch without breaking the rest.</w:t>
      </w:r>
    </w:p>
    <w:p>
      <w:pPr>
        <w:pStyle w:val="Heading2"/>
        <w:spacing w:after="80" w:before="240"/>
      </w:pPr>
      <w:r>
        <w:rPr>
          <w:b/>
          <w:bCs/>
          <w:color w:val="2471A3"/>
          <w:sz w:val="24"/>
          <w:szCs w:val="24"/>
        </w:rPr>
        <w:t xml:space="preserve">9.3 Recommended Repo Structure</w:t>
      </w:r>
    </w:p>
    <w:p>
      <w:pPr>
        <w:spacing w:after="60" w:before="60"/>
      </w:pPr>
      <w:r>
        <w:rPr>
          <w:rFonts w:ascii="Courier New" w:cs="Courier New" w:eastAsia="Courier New" w:hAnsi="Courier New"/>
          <w:sz w:val="18"/>
          <w:szCs w:val="18"/>
        </w:rPr>
        <w:t xml:space="preserve">aquaintel/
  backend/        ← FastAPI app
    models/       ← ML models + SHAP
    routers/      ← API routes
    services/     ← data ingestion, scraping
  frontend/       ← React + Leaflet
  data/           ← DEM tiles, sample data
  notebooks/      ← model training experiments
  .github/
    workflows/    ← CI/CD (lint, test, deploy)</w:t>
      </w:r>
    </w:p>
    <w:p>
      <w:pPr>
        <w:spacing w:after="60" w:before="60"/>
      </w:pPr>
      <w:r>
        <w:rPr>
          <w:b/>
          <w:bCs/>
          <w:color w:val="2471A3"/>
          <w:sz w:val="20"/>
          <w:szCs w:val="20"/>
        </w:rPr>
        <w:t xml:space="preserve">Key tip: </w:t>
      </w:r>
      <w:r>
        <w:rPr>
          <w:sz w:val="20"/>
          <w:szCs w:val="20"/>
        </w:rPr>
        <w:t xml:space="preserve">Keep the ML model training in /notebooks as Jupyter notebooks separate from the inference code in /backend/models. This means teammates can swap the model file (model.joblib) without touching the API serving code.</w:t>
      </w:r>
    </w:p>
    <w:p>
      <w:pPr>
        <w:pBdr>
          <w:bottom w:val="single" w:color="CCCCCC" w:sz="6"/>
        </w:pBdr>
        <w:spacing w:after="120" w:before="120"/>
      </w:pPr>
      <w:r>
        <w:t xml:space="preserve"/>
      </w:r>
    </w:p>
    <w:p>
      <w:pPr>
        <w:pStyle w:val="Heading1"/>
        <w:spacing w:after="120" w:before="360"/>
      </w:pPr>
      <w:r>
        <w:rPr>
          <w:b/>
          <w:bCs/>
          <w:color w:val="1A2B4A"/>
          <w:sz w:val="28"/>
          <w:szCs w:val="28"/>
        </w:rPr>
        <w:t xml:space="preserve">10. Final Verdict</w:t>
      </w:r>
    </w:p>
    <w:p>
      <w:pPr>
        <w:spacing w:after="60" w:before="60"/>
      </w:pPr>
      <w:r>
        <w:rPr>
          <w:b/>
          <w:bCs/>
          <w:color w:val="1E8449"/>
          <w:sz w:val="22"/>
          <w:szCs w:val="22"/>
        </w:rPr>
        <w:t xml:space="preserve">✅ Core platform (risk scoring + dashboard + alerts + GIS): </w:t>
      </w:r>
      <w:r>
        <w:rPr>
          <w:b/>
          <w:bCs/>
          <w:sz w:val="22"/>
          <w:szCs w:val="22"/>
        </w:rPr>
        <w:t xml:space="preserve">Fully feasible. Build it.</w:t>
      </w:r>
    </w:p>
    <w:p>
      <w:pPr>
        <w:spacing w:after="60" w:before="60"/>
      </w:pPr>
      <w:r>
        <w:rPr>
          <w:b/>
          <w:bCs/>
          <w:color w:val="D35400"/>
          <w:sz w:val="22"/>
          <w:szCs w:val="22"/>
        </w:rPr>
        <w:t xml:space="preserve">⚠️ Evacuation routing + digital twin (simplified): </w:t>
      </w:r>
      <w:r>
        <w:rPr>
          <w:b/>
          <w:bCs/>
          <w:sz w:val="22"/>
          <w:szCs w:val="22"/>
        </w:rPr>
        <w:t xml:space="preserve">Feasible with scope reduction.</w:t>
      </w:r>
    </w:p>
    <w:p>
      <w:pPr>
        <w:spacing w:after="60" w:before="60"/>
      </w:pPr>
      <w:r>
        <w:rPr>
          <w:b/>
          <w:bCs/>
          <w:color w:val="C0392B"/>
          <w:sz w:val="22"/>
          <w:szCs w:val="22"/>
        </w:rPr>
        <w:t xml:space="preserve">🔴 MeshLink (Bluetooth mesh): </w:t>
      </w:r>
      <w:r>
        <w:rPr>
          <w:b/>
          <w:bCs/>
          <w:sz w:val="22"/>
          <w:szCs w:val="22"/>
        </w:rPr>
        <w:t xml:space="preserve">Do not build for SIH. Present as concept only.</w:t>
      </w:r>
    </w:p>
    <w:p>
      <w:pPr>
        <w:spacing w:after="60" w:before="60"/>
      </w:pPr>
      <w:r>
        <w:rPr>
          <w:b/>
          <w:bCs/>
          <w:sz w:val="20"/>
          <w:szCs w:val="20"/>
        </w:rPr>
        <w:t xml:space="preserve">Immediate actions:</w:t>
      </w:r>
    </w:p>
    <w:p>
      <w:pPr>
        <w:pStyle w:val="ListParagraph"/>
        <w:numPr>
          <w:ilvl w:val="0"/>
          <w:numId w:val="1"/>
        </w:numPr>
        <w:spacing w:after="40" w:before="40"/>
      </w:pPr>
      <w:r>
        <w:rPr>
          <w:b w:val="false"/>
          <w:bCs w:val="false"/>
          <w:color w:val="000000"/>
          <w:sz w:val="20"/>
          <w:szCs w:val="20"/>
        </w:rPr>
        <w:t xml:space="preserve">Email IMD API contact (akhil.srivastava@imd.gov.in) for SIH access within this week.</w:t>
      </w:r>
    </w:p>
    <w:p>
      <w:pPr>
        <w:pStyle w:val="ListParagraph"/>
        <w:numPr>
          <w:ilvl w:val="0"/>
          <w:numId w:val="1"/>
        </w:numPr>
        <w:spacing w:after="40" w:before="40"/>
      </w:pPr>
      <w:r>
        <w:rPr>
          <w:b w:val="false"/>
          <w:bCs w:val="false"/>
          <w:color w:val="000000"/>
          <w:sz w:val="20"/>
          <w:szCs w:val="20"/>
        </w:rPr>
        <w:t xml:space="preserve">Set up Open-Meteo as your weather fallback today — no auth, no friction.</w:t>
      </w:r>
    </w:p>
    <w:p>
      <w:pPr>
        <w:pStyle w:val="ListParagraph"/>
        <w:numPr>
          <w:ilvl w:val="0"/>
          <w:numId w:val="1"/>
        </w:numPr>
        <w:spacing w:after="40" w:before="40"/>
      </w:pPr>
      <w:r>
        <w:rPr>
          <w:b w:val="false"/>
          <w:bCs w:val="false"/>
          <w:color w:val="000000"/>
          <w:sz w:val="20"/>
          <w:szCs w:val="20"/>
        </w:rPr>
        <w:t xml:space="preserve">Register on NASA Earthdata (urs.earthdata.nasa.gov) for IMERG access.</w:t>
      </w:r>
    </w:p>
    <w:p>
      <w:pPr>
        <w:pStyle w:val="ListParagraph"/>
        <w:numPr>
          <w:ilvl w:val="0"/>
          <w:numId w:val="1"/>
        </w:numPr>
        <w:spacing w:after="40" w:before="40"/>
      </w:pPr>
      <w:r>
        <w:rPr>
          <w:b w:val="false"/>
          <w:bCs w:val="false"/>
          <w:color w:val="000000"/>
          <w:sz w:val="20"/>
          <w:szCs w:val="20"/>
        </w:rPr>
        <w:t xml:space="preserve">Upgrade Supabase to Pro ($25) before the demo day to prevent auto-pause.</w:t>
      </w:r>
    </w:p>
    <w:p>
      <w:pPr>
        <w:pStyle w:val="ListParagraph"/>
        <w:numPr>
          <w:ilvl w:val="0"/>
          <w:numId w:val="1"/>
        </w:numPr>
        <w:spacing w:after="40" w:before="40"/>
      </w:pPr>
      <w:r>
        <w:rPr>
          <w:b w:val="false"/>
          <w:bCs w:val="false"/>
          <w:color w:val="000000"/>
          <w:sz w:val="20"/>
          <w:szCs w:val="20"/>
        </w:rPr>
        <w:t xml:space="preserve">Start Twilio DLT registration now — it takes 1–2 weeks.</w:t>
      </w:r>
    </w:p>
    <w:p>
      <w:pPr>
        <w:pStyle w:val="ListParagraph"/>
        <w:numPr>
          <w:ilvl w:val="0"/>
          <w:numId w:val="1"/>
        </w:numPr>
        <w:spacing w:after="40" w:before="40"/>
      </w:pPr>
      <w:r>
        <w:rPr>
          <w:b w:val="false"/>
          <w:bCs w:val="false"/>
          <w:color w:val="000000"/>
          <w:sz w:val="20"/>
          <w:szCs w:val="20"/>
        </w:rPr>
        <w:t xml:space="preserve">Set up GitHub branch structure and PR template today.</w:t>
      </w:r>
    </w:p>
    <w:p>
      <w:pPr>
        <w:pStyle w:val="ListParagraph"/>
        <w:numPr>
          <w:ilvl w:val="0"/>
          <w:numId w:val="1"/>
        </w:numPr>
        <w:spacing w:after="40" w:before="40"/>
      </w:pPr>
      <w:r>
        <w:rPr>
          <w:b w:val="false"/>
          <w:bCs w:val="false"/>
          <w:color w:val="000000"/>
          <w:sz w:val="20"/>
          <w:szCs w:val="20"/>
        </w:rPr>
        <w:t xml:space="preserve">Cap MeshLink to a 2-slide architecture concept in the presentation.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2026-08-11T16:39:07.949Z</dcterms:created>
  <dcterms:modified xsi:type="dcterms:W3CDTF">2026-08-11T16:39:07.949Z</dcterms:modified>
</cp:coreProperties>
</file>

<file path=docProps/custom.xml><?xml version="1.0" encoding="utf-8"?>
<Properties xmlns="http://schemas.openxmlformats.org/officeDocument/2006/custom-properties" xmlns:vt="http://schemas.openxmlformats.org/officeDocument/2006/docPropsVTypes"/>
</file>