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"content-recommender/thrift/src/main/thrift:content-recommender-common-scala",</w:t>
      </w:r>
    </w:p>
    <w:p>
      <w:pPr>
        <w:jc w:val="both"/>
      </w:pPr>
      <w:r>
        <w:t xml:space="preserve">        "cr-mixer/server/src/main/scala/com/twitter/cr_mixer/featureswitch",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"cr-mixer/server/src/main/scala/com/twitter/cr_mixer/param/decider",</w:t>
      </w:r>
    </w:p>
    <w:p>
      <w:pPr>
        <w:jc w:val="both"/>
      </w:pPr>
      <w:r>
        <w:t xml:space="preserve">        "cr-mixer/server/src/main/scala/com/twitter/cr_mixer/scribe",</w:t>
      </w:r>
    </w:p>
    <w:p>
      <w:pPr>
        <w:jc w:val="both"/>
      </w:pPr>
      <w:r>
        <w:t xml:space="preserve">        "cr-mixer/server/src/main/scala/com/twitter/cr_mixer/util",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"featureswitches/featureswitches-core/src/main/scala:experimentation-settings",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"scribelib/validators/src/main/scala/com/twitter/scribelib/validators",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"timelines/src/main/scala/com/twitter/timelines/clientevent",</w:t>
      </w:r>
    </w:p>
    <w:p>
      <w:pPr>
        <w:jc w:val="both"/>
      </w:pPr>
      <w:r>
        <w:t xml:space="preserve">        "util-internal/scribe/src/main/scala/com/twitter/logging",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