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com.twitter.cr_mixer.similarity_engine.ConsumersBasedUserAdGraphSimilarityEngine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com.twitter.recos.user_ad_graph.thriftscala.ConsumersBasedRelatedAdRequest</w:t>
      </w:r>
    </w:p>
    <w:p>
      <w:pPr>
        <w:jc w:val="both"/>
      </w:pPr>
      <w:r>
        <w:t>import com.twitter.recos.user_ad_graph.thriftscala.RelatedAdResponse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ConsumersBasedUserAdGraphSimilarityEngineModule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@Named(ModuleNames.ConsumersBasedUserAdGraphSimilarityEngine)</w:t>
      </w:r>
    </w:p>
    <w:p>
      <w:pPr>
        <w:jc w:val="both"/>
      </w:pPr>
      <w:r>
        <w:t xml:space="preserve">  def providesConsumersBasedUserAdGraphSimilarityEngine(</w:t>
      </w:r>
    </w:p>
    <w:p>
      <w:pPr>
        <w:jc w:val="both"/>
      </w:pPr>
      <w:r>
        <w:t xml:space="preserve">    @Named(ModuleNames.ConsumerBasedUserAdGraphStore)</w:t>
      </w:r>
    </w:p>
    <w:p>
      <w:pPr>
        <w:jc w:val="both"/>
      </w:pPr>
      <w:r>
        <w:t xml:space="preserve">    consumersBasedUserAdGraphStore: ReadableStore[</w:t>
      </w:r>
    </w:p>
    <w:p>
      <w:pPr>
        <w:jc w:val="both"/>
      </w:pPr>
      <w:r>
        <w:t xml:space="preserve">      ConsumersBasedRelatedAdRequest,</w:t>
      </w:r>
    </w:p>
    <w:p>
      <w:pPr>
        <w:jc w:val="both"/>
      </w:pPr>
      <w:r>
        <w:t xml:space="preserve">      RelatedAdResponse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ConsumersBasedUserAdGraphSimilarityEngine.Query,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ConsumersBasedUserAdGraphSimilarityEngine.Query,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</w:t>
      </w:r>
    </w:p>
    <w:p>
      <w:pPr>
        <w:jc w:val="both"/>
      </w:pPr>
      <w:r>
        <w:t xml:space="preserve">        ConsumersBasedUserAdGraphSimilarityEngine(consumersBasedUserAdGraphStore, statsReceiver),</w:t>
      </w:r>
    </w:p>
    <w:p>
      <w:pPr>
        <w:jc w:val="both"/>
      </w:pPr>
      <w:r>
        <w:t xml:space="preserve">      identifier = SimilarityEngineType.ConsumersBasedUserTweetGraph,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DeciderConstants.enableUserTweetGraphTrafficDeciderKey)),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memCacheConfig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