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com.twitter.follow_recommendations.common.candidate_sources.addressbook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AddressBookParams {</w:t>
      </w:r>
    </w:p>
    <w:p>
      <w:pPr>
        <w:jc w:val="both"/>
      </w:pPr>
      <w:r>
        <w:t xml:space="preserve">  // Used by display locations that want only to read from the ABV2 Client and ignore Manhattan</w:t>
      </w:r>
    </w:p>
    <w:p>
      <w:pPr>
        <w:jc w:val="both"/>
      </w:pPr>
      <w:r>
        <w:t xml:space="preserve">  // Currently the only display location that does this is the ABUploadInjection DisplayLocation</w:t>
      </w:r>
    </w:p>
    <w:p>
      <w:pPr>
        <w:jc w:val="both"/>
      </w:pPr>
      <w:r>
        <w:t xml:space="preserve">  object ReadFromABV2Only extends FSParam[Boolean]("addressbook_read_only_from_abv2",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