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com.twitter.follow_recommendations.common.candidate_sources.stp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OfflineStpSourceFsConfig @Inject() () extends FeatureSwitchConfig {</w:t>
      </w:r>
    </w:p>
    <w:p>
      <w:pPr>
        <w:jc w:val="both"/>
      </w:pPr>
      <w:r>
        <w:t xml:space="preserve">  override val booleanFSParams: Seq[FSParam[Boolean] with FSName] = Seq(</w:t>
      </w:r>
    </w:p>
    <w:p>
      <w:pPr>
        <w:jc w:val="both"/>
      </w:pPr>
      <w:r>
        <w:t xml:space="preserve">    OfflineStpSourceParams.UseDenserPmiMatrix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