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OfflineStpSourceParams {</w:t>
      </w:r>
    </w:p>
    <w:p>
      <w:pPr>
        <w:jc w:val="both"/>
      </w:pPr>
      <w:r>
        <w:t xml:space="preserve">  // If enabled, we use the new, denser version of PMI matrix to generate OfflineSTP candidates.</w:t>
      </w:r>
    </w:p>
    <w:p>
      <w:pPr>
        <w:jc w:val="both"/>
      </w:pPr>
      <w:r>
        <w:t xml:space="preserve">  case object UseDenserPmiMatrix</w:t>
      </w:r>
    </w:p>
    <w:p>
      <w:pPr>
        <w:jc w:val="both"/>
      </w:pPr>
      <w:r>
        <w:t xml:space="preserve">      extends FSParam[Boolean]("offline_stp_source_use_denser_pmi_matrix", default =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