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com.twitter.strato.generated.client.onboarding.userrecs.StrongTiePredictionClientColumn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Main source for strong-tie-prediction candidates generated offline.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OfflineStpSourceWithLegacyPmiMatrix @Inject() (</w:t>
      </w:r>
    </w:p>
    <w:p>
      <w:pPr>
        <w:jc w:val="both"/>
      </w:pPr>
      <w:r>
        <w:t xml:space="preserve">  stpColumn: StrongTiePredictionClientColumn)</w:t>
      </w:r>
    </w:p>
    <w:p>
      <w:pPr>
        <w:jc w:val="both"/>
      </w:pPr>
      <w:r>
        <w:t xml:space="preserve">    extends OfflineStrongTiePredictionBaseSource(stpColumn.fetcher) {</w:t>
      </w:r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OfflineStpSourceWithLegacyPmiMatrix.Identifier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OfflineStpSourceWithLegacyPmiMatrix {</w:t>
      </w:r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CandidateSourceIdentifier(Algorithm.StrongTiePredictionRec.toString)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