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com.twitter.follow_recommendations.assembler.models</w:t>
      </w:r>
    </w:p>
    <w:p>
      <w:pPr>
        <w:jc w:val="both"/>
      </w:pPr>
      <w:r/>
    </w:p>
    <w:p>
      <w:pPr>
        <w:jc w:val="both"/>
      </w:pPr>
      <w:r>
        <w:t>import com.twitter.follow_recommendations.{thriftscala =&gt; t}</w:t>
      </w:r>
    </w:p>
    <w:p>
      <w:pPr>
        <w:jc w:val="both"/>
      </w:pPr>
      <w:r/>
    </w:p>
    <w:p>
      <w:pPr>
        <w:jc w:val="both"/>
      </w:pPr>
      <w:r>
        <w:t>case class Action(text: String, actionURL: String) {</w:t>
      </w:r>
    </w:p>
    <w:p>
      <w:pPr>
        <w:jc w:val="both"/>
      </w:pPr>
      <w:r>
        <w:t xml:space="preserve">  lazy val toThrift: t.Action = {</w:t>
      </w:r>
    </w:p>
    <w:p>
      <w:pPr>
        <w:jc w:val="both"/>
      </w:pPr>
      <w:r>
        <w:t xml:space="preserve">    t.Action(text, actionURL)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