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"TypesProtos";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"github.com/tensorflow/tensorflow/tensorflow/go/core/framework/types_go_proto";</w:t>
      </w:r>
    </w:p>
    <w:p>
      <w:pPr>
        <w:jc w:val="both"/>
      </w:pPr>
      <w:r/>
    </w:p>
    <w:p>
      <w:pPr>
        <w:jc w:val="both"/>
      </w:pPr>
      <w:r>
        <w:t>// (== suppress_warning documentation-presence ==)</w:t>
      </w:r>
    </w:p>
    <w:p>
      <w:pPr>
        <w:jc w:val="both"/>
      </w:pPr>
      <w:r>
        <w:t>// LINT.IfChange</w:t>
      </w:r>
    </w:p>
    <w:p>
      <w:pPr>
        <w:jc w:val="both"/>
      </w:pPr>
      <w:r>
        <w:t>enum DataType {</w:t>
      </w:r>
    </w:p>
    <w:p>
      <w:pPr>
        <w:jc w:val="both"/>
      </w:pPr>
      <w:r>
        <w:t xml:space="preserve">  // Not a legal value for DataType.  Used to indicate a DataType field</w:t>
      </w:r>
    </w:p>
    <w:p>
      <w:pPr>
        <w:jc w:val="both"/>
      </w:pPr>
      <w:r>
        <w:t xml:space="preserve">  // has not been set.</w:t>
      </w:r>
    </w:p>
    <w:p>
      <w:pPr>
        <w:jc w:val="both"/>
      </w:pPr>
      <w:r>
        <w:t xml:space="preserve">  DT_INVALID = 0;</w:t>
      </w:r>
    </w:p>
    <w:p>
      <w:pPr>
        <w:jc w:val="both"/>
      </w:pPr>
      <w:r/>
    </w:p>
    <w:p>
      <w:pPr>
        <w:jc w:val="both"/>
      </w:pPr>
      <w:r>
        <w:t xml:space="preserve">  // Data types that all computation devices are expected to be</w:t>
      </w:r>
    </w:p>
    <w:p>
      <w:pPr>
        <w:jc w:val="both"/>
      </w:pPr>
      <w:r>
        <w:t xml:space="preserve">  // capable to support.</w:t>
      </w:r>
    </w:p>
    <w:p>
      <w:pPr>
        <w:jc w:val="both"/>
      </w:pPr>
      <w:r>
        <w:t xml:space="preserve">  DT_FLOAT = 1;</w:t>
      </w:r>
    </w:p>
    <w:p>
      <w:pPr>
        <w:jc w:val="both"/>
      </w:pPr>
      <w:r>
        <w:t xml:space="preserve">  DT_DOUBLE = 2;</w:t>
      </w:r>
    </w:p>
    <w:p>
      <w:pPr>
        <w:jc w:val="both"/>
      </w:pPr>
      <w:r>
        <w:t xml:space="preserve">  DT_INT32 = 3;</w:t>
      </w:r>
    </w:p>
    <w:p>
      <w:pPr>
        <w:jc w:val="both"/>
      </w:pPr>
      <w:r>
        <w:t xml:space="preserve">  DT_UINT8 = 4;</w:t>
      </w:r>
    </w:p>
    <w:p>
      <w:pPr>
        <w:jc w:val="both"/>
      </w:pPr>
      <w:r>
        <w:t xml:space="preserve">  DT_INT16 = 5;</w:t>
      </w:r>
    </w:p>
    <w:p>
      <w:pPr>
        <w:jc w:val="both"/>
      </w:pPr>
      <w:r>
        <w:t xml:space="preserve">  DT_INT8 = 6;</w:t>
      </w:r>
    </w:p>
    <w:p>
      <w:pPr>
        <w:jc w:val="both"/>
      </w:pPr>
      <w:r>
        <w:t xml:space="preserve">  DT_STRING = 7;</w:t>
      </w:r>
    </w:p>
    <w:p>
      <w:pPr>
        <w:jc w:val="both"/>
      </w:pPr>
      <w:r>
        <w:t xml:space="preserve">  DT_COMPLEX64 = 8;  // Single-precision complex</w:t>
      </w:r>
    </w:p>
    <w:p>
      <w:pPr>
        <w:jc w:val="both"/>
      </w:pPr>
      <w:r>
        <w:t xml:space="preserve">  DT_INT64 = 9;</w:t>
      </w:r>
    </w:p>
    <w:p>
      <w:pPr>
        <w:jc w:val="both"/>
      </w:pPr>
      <w:r>
        <w:t xml:space="preserve">  DT_BOOL = 10;</w:t>
      </w:r>
    </w:p>
    <w:p>
      <w:pPr>
        <w:jc w:val="both"/>
      </w:pPr>
      <w:r>
        <w:t xml:space="preserve">  DT_QINT8 = 11;     // Quantized int8</w:t>
      </w:r>
    </w:p>
    <w:p>
      <w:pPr>
        <w:jc w:val="both"/>
      </w:pPr>
      <w:r>
        <w:t xml:space="preserve">  DT_QUINT8 = 12;    // Quantized uint8</w:t>
      </w:r>
    </w:p>
    <w:p>
      <w:pPr>
        <w:jc w:val="both"/>
      </w:pPr>
      <w:r>
        <w:t xml:space="preserve">  DT_QINT32 = 13;    // Quantized int32</w:t>
      </w:r>
    </w:p>
    <w:p>
      <w:pPr>
        <w:jc w:val="both"/>
      </w:pPr>
      <w:r>
        <w:t xml:space="preserve">  DT_BFLOAT16 = 14;  // Float32 truncated to 16 bits.  Only for cast ops.</w:t>
      </w:r>
    </w:p>
    <w:p>
      <w:pPr>
        <w:jc w:val="both"/>
      </w:pPr>
      <w:r>
        <w:t xml:space="preserve">  DT_QINT16 = 15;    // Quantized int16</w:t>
      </w:r>
    </w:p>
    <w:p>
      <w:pPr>
        <w:jc w:val="both"/>
      </w:pPr>
      <w:r>
        <w:t xml:space="preserve">  DT_QUINT16 = 16;   // Quantized uint16</w:t>
      </w:r>
    </w:p>
    <w:p>
      <w:pPr>
        <w:jc w:val="both"/>
      </w:pPr>
      <w:r>
        <w:t xml:space="preserve">  DT_UINT16 = 17;</w:t>
      </w:r>
    </w:p>
    <w:p>
      <w:pPr>
        <w:jc w:val="both"/>
      </w:pPr>
      <w:r>
        <w:t xml:space="preserve">  DT_COMPLEX128 = 18;  // Double-precision complex</w:t>
      </w:r>
    </w:p>
    <w:p>
      <w:pPr>
        <w:jc w:val="both"/>
      </w:pPr>
      <w:r>
        <w:t xml:space="preserve">  DT_HALF = 19;</w:t>
      </w:r>
    </w:p>
    <w:p>
      <w:pPr>
        <w:jc w:val="both"/>
      </w:pPr>
      <w:r>
        <w:t xml:space="preserve">  DT_RESOURCE = 20;</w:t>
      </w:r>
    </w:p>
    <w:p>
      <w:pPr>
        <w:jc w:val="both"/>
      </w:pPr>
      <w:r>
        <w:t xml:space="preserve">  DT_VARIANT = 21;  // Arbitrary C++ data types</w:t>
      </w:r>
    </w:p>
    <w:p>
      <w:pPr>
        <w:jc w:val="both"/>
      </w:pPr>
      <w:r>
        <w:t xml:space="preserve">  DT_UINT32 = 22;</w:t>
      </w:r>
    </w:p>
    <w:p>
      <w:pPr>
        <w:jc w:val="both"/>
      </w:pPr>
      <w:r>
        <w:t xml:space="preserve">  DT_UINT64 = 23;</w:t>
      </w:r>
    </w:p>
    <w:p>
      <w:pPr>
        <w:jc w:val="both"/>
      </w:pPr>
      <w:r/>
    </w:p>
    <w:p>
      <w:pPr>
        <w:jc w:val="both"/>
      </w:pPr>
      <w:r>
        <w:t xml:space="preserve">  // Do not use!  These are only for parameters.  Every enum above</w:t>
      </w:r>
    </w:p>
    <w:p>
      <w:pPr>
        <w:jc w:val="both"/>
      </w:pPr>
      <w:r>
        <w:t xml:space="preserve">  // should have a corresponding value below (verified by types_test).</w:t>
      </w:r>
    </w:p>
    <w:p>
      <w:pPr>
        <w:jc w:val="both"/>
      </w:pPr>
      <w:r>
        <w:t xml:space="preserve">  DT_FLOAT_REF = 101;</w:t>
      </w:r>
    </w:p>
    <w:p>
      <w:pPr>
        <w:jc w:val="both"/>
      </w:pPr>
      <w:r>
        <w:t xml:space="preserve">  DT_DOUBLE_REF = 102;</w:t>
      </w:r>
    </w:p>
    <w:p>
      <w:pPr>
        <w:jc w:val="both"/>
      </w:pPr>
      <w:r>
        <w:t xml:space="preserve">  DT_INT32_REF = 103;</w:t>
      </w:r>
    </w:p>
    <w:p>
      <w:pPr>
        <w:jc w:val="both"/>
      </w:pPr>
      <w:r>
        <w:t xml:space="preserve">  DT_UINT8_REF = 104;</w:t>
      </w:r>
    </w:p>
    <w:p>
      <w:pPr>
        <w:jc w:val="both"/>
      </w:pPr>
      <w:r>
        <w:t xml:space="preserve">  DT_INT16_REF = 105;</w:t>
      </w:r>
    </w:p>
    <w:p>
      <w:pPr>
        <w:jc w:val="both"/>
      </w:pPr>
      <w:r>
        <w:t xml:space="preserve">  DT_INT8_REF = 106;</w:t>
      </w:r>
    </w:p>
    <w:p>
      <w:pPr>
        <w:jc w:val="both"/>
      </w:pPr>
      <w:r>
        <w:t xml:space="preserve">  DT_STRING_REF = 107;</w:t>
      </w:r>
    </w:p>
    <w:p>
      <w:pPr>
        <w:jc w:val="both"/>
      </w:pPr>
      <w:r>
        <w:t xml:space="preserve">  DT_COMPLEX64_REF = 108;</w:t>
      </w:r>
    </w:p>
    <w:p>
      <w:pPr>
        <w:jc w:val="both"/>
      </w:pPr>
      <w:r>
        <w:t xml:space="preserve">  DT_INT64_REF = 109;</w:t>
      </w:r>
    </w:p>
    <w:p>
      <w:pPr>
        <w:jc w:val="both"/>
      </w:pPr>
      <w:r>
        <w:t xml:space="preserve">  DT_BOOL_REF = 110;</w:t>
      </w:r>
    </w:p>
    <w:p>
      <w:pPr>
        <w:jc w:val="both"/>
      </w:pPr>
      <w:r>
        <w:t xml:space="preserve">  DT_QINT8_REF = 111;</w:t>
      </w:r>
    </w:p>
    <w:p>
      <w:pPr>
        <w:jc w:val="both"/>
      </w:pPr>
      <w:r>
        <w:t xml:space="preserve">  DT_QUINT8_REF = 112;</w:t>
      </w:r>
    </w:p>
    <w:p>
      <w:pPr>
        <w:jc w:val="both"/>
      </w:pPr>
      <w:r>
        <w:t xml:space="preserve">  DT_QINT32_REF = 113;</w:t>
      </w:r>
    </w:p>
    <w:p>
      <w:pPr>
        <w:jc w:val="both"/>
      </w:pPr>
      <w:r>
        <w:t xml:space="preserve">  DT_BFLOAT16_REF = 114;</w:t>
      </w:r>
    </w:p>
    <w:p>
      <w:pPr>
        <w:jc w:val="both"/>
      </w:pPr>
      <w:r>
        <w:t xml:space="preserve">  DT_QINT16_REF = 115;</w:t>
      </w:r>
    </w:p>
    <w:p>
      <w:pPr>
        <w:jc w:val="both"/>
      </w:pPr>
      <w:r>
        <w:t xml:space="preserve">  DT_QUINT16_REF = 116;</w:t>
      </w:r>
    </w:p>
    <w:p>
      <w:pPr>
        <w:jc w:val="both"/>
      </w:pPr>
      <w:r>
        <w:t xml:space="preserve">  DT_UINT16_REF = 117;</w:t>
      </w:r>
    </w:p>
    <w:p>
      <w:pPr>
        <w:jc w:val="both"/>
      </w:pPr>
      <w:r>
        <w:t xml:space="preserve">  DT_COMPLEX128_REF = 118;</w:t>
      </w:r>
    </w:p>
    <w:p>
      <w:pPr>
        <w:jc w:val="both"/>
      </w:pPr>
      <w:r>
        <w:t xml:space="preserve">  DT_HALF_REF = 119;</w:t>
      </w:r>
    </w:p>
    <w:p>
      <w:pPr>
        <w:jc w:val="both"/>
      </w:pPr>
      <w:r>
        <w:t xml:space="preserve">  DT_RESOURCE_REF = 120;</w:t>
      </w:r>
    </w:p>
    <w:p>
      <w:pPr>
        <w:jc w:val="both"/>
      </w:pPr>
      <w:r>
        <w:t xml:space="preserve">  DT_VARIANT_REF = 121;</w:t>
      </w:r>
    </w:p>
    <w:p>
      <w:pPr>
        <w:jc w:val="both"/>
      </w:pPr>
      <w:r>
        <w:t xml:space="preserve">  DT_UINT32_REF = 122;</w:t>
      </w:r>
    </w:p>
    <w:p>
      <w:pPr>
        <w:jc w:val="both"/>
      </w:pPr>
      <w:r>
        <w:t xml:space="preserve">  DT_UINT64_REF = 123;</w:t>
      </w:r>
    </w:p>
    <w:p>
      <w:pPr>
        <w:jc w:val="both"/>
      </w:pPr>
      <w:r>
        <w:t>}</w:t>
      </w:r>
    </w:p>
    <w:p>
      <w:pPr>
        <w:jc w:val="both"/>
      </w:pPr>
      <w:r>
        <w:t>// LINT.ThenChange(</w:t>
      </w:r>
    </w:p>
    <w:p>
      <w:pPr>
        <w:jc w:val="both"/>
      </w:pPr>
      <w:r>
        <w:t>//    https://www.tensorflow.org/code/tensorflow/c/tf_datatype.h,</w:t>
      </w:r>
    </w:p>
    <w:p>
      <w:pPr>
        <w:jc w:val="both"/>
      </w:pPr>
      <w:r>
        <w:t>//    https://www.tensorflow.org/code/tensorflow/go/tensor.go,</w:t>
      </w:r>
    </w:p>
    <w:p>
      <w:pPr>
        <w:jc w:val="both"/>
      </w:pPr>
      <w:r>
        <w:t>//    https://www.tensorflow.org/code/tensorflow/core/framework/tensor.cc,</w:t>
      </w:r>
    </w:p>
    <w:p>
      <w:pPr>
        <w:jc w:val="both"/>
      </w:pPr>
      <w:r>
        <w:t>//    https://www.tensorflow.org/code/tensorflow/core/framework/types.h,</w:t>
      </w:r>
    </w:p>
    <w:p>
      <w:pPr>
        <w:jc w:val="both"/>
      </w:pPr>
      <w:r>
        <w:t>//    https://www.tensorflow.org/code/tensorflow/core/framework/types.cc,</w:t>
      </w:r>
    </w:p>
    <w:p>
      <w:pPr>
        <w:jc w:val="both"/>
      </w:pPr>
      <w:r>
        <w:t>//    https://www.tensorflow.org/code/tensorflow/python/framework/dtypes.py,</w:t>
      </w:r>
    </w:p>
    <w:p>
      <w:pPr>
        <w:jc w:val="both"/>
      </w:pPr>
      <w:r>
        <w:t>//    https://www.tensorflow.org/code/tensorflow/python/framework/function.py)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