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com.twitter.product_mixer.core.model.marshalling.response.slice</w:t>
      </w:r>
    </w:p>
    <w:p>
      <w:pPr>
        <w:jc w:val="both"/>
      </w:pPr>
      <w:r/>
    </w:p>
    <w:p>
      <w:pPr>
        <w:jc w:val="both"/>
      </w:pPr>
      <w:r>
        <w:t>import com.twitter.product_mixer.core.model.marshalling.HasMarshalling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These are the Ad Types exposed on AdUnits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They are to be kept in sync with strato/config/src/thrift/com/twitter/strato/graphql/hubble.thrift</w:t>
      </w:r>
    </w:p>
    <w:p>
      <w:pPr>
        <w:jc w:val="both"/>
      </w:pPr>
      <w:r>
        <w:t xml:space="preserve"> */</w:t>
      </w:r>
    </w:p>
    <w:p>
      <w:pPr>
        <w:jc w:val="both"/>
      </w:pPr>
      <w:r>
        <w:t>sealed trait AdType</w:t>
      </w:r>
    </w:p>
    <w:p>
      <w:pPr>
        <w:jc w:val="both"/>
      </w:pPr>
      <w:r>
        <w:t>object AdType {</w:t>
      </w:r>
    </w:p>
    <w:p>
      <w:pPr>
        <w:jc w:val="both"/>
      </w:pPr>
      <w:r>
        <w:t xml:space="preserve">  case object Tweet extends AdType</w:t>
      </w:r>
    </w:p>
    <w:p>
      <w:pPr>
        <w:jc w:val="both"/>
      </w:pPr>
      <w:r>
        <w:t xml:space="preserve">  case object Account extends AdType</w:t>
      </w:r>
    </w:p>
    <w:p>
      <w:pPr>
        <w:jc w:val="both"/>
      </w:pPr>
      <w:r>
        <w:t xml:space="preserve">  case object InStreamVideo extends AdType</w:t>
      </w:r>
    </w:p>
    <w:p>
      <w:pPr>
        <w:jc w:val="both"/>
      </w:pPr>
      <w:r>
        <w:t xml:space="preserve">  case object DisplayCreative extends AdType</w:t>
      </w:r>
    </w:p>
    <w:p>
      <w:pPr>
        <w:jc w:val="both"/>
      </w:pPr>
      <w:r>
        <w:t xml:space="preserve">  case object Trend extends AdType</w:t>
      </w:r>
    </w:p>
    <w:p>
      <w:pPr>
        <w:jc w:val="both"/>
      </w:pPr>
      <w:r>
        <w:t xml:space="preserve">  case object Spotlight extends AdType</w:t>
      </w:r>
    </w:p>
    <w:p>
      <w:pPr>
        <w:jc w:val="both"/>
      </w:pPr>
      <w:r>
        <w:t xml:space="preserve">  case object Takeover extends AdType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SliceItem</w:t>
      </w:r>
    </w:p>
    <w:p>
      <w:pPr>
        <w:jc w:val="both"/>
      </w:pPr>
      <w:r>
        <w:t>case class TweetItem(id: Long) extends SliceItem</w:t>
      </w:r>
    </w:p>
    <w:p>
      <w:pPr>
        <w:jc w:val="both"/>
      </w:pPr>
      <w:r>
        <w:t>case class UserItem(id: Long) extends SliceItem</w:t>
      </w:r>
    </w:p>
    <w:p>
      <w:pPr>
        <w:jc w:val="both"/>
      </w:pPr>
      <w:r>
        <w:t>case class TwitterListItem(id: Long) extends SliceItem</w:t>
      </w:r>
    </w:p>
    <w:p>
      <w:pPr>
        <w:jc w:val="both"/>
      </w:pPr>
      <w:r>
        <w:t>case class DMConvoSearchItem(id: String, lastReadableEventId: Option[Long]) extends SliceItem</w:t>
      </w:r>
    </w:p>
    <w:p>
      <w:pPr>
        <w:jc w:val="both"/>
      </w:pPr>
      <w:r>
        <w:t>case class DMEventItem(id: Long) extends SliceItem</w:t>
      </w:r>
    </w:p>
    <w:p>
      <w:pPr>
        <w:jc w:val="both"/>
      </w:pPr>
      <w:r>
        <w:t>case class DMConvoItem(id: String, lastReadableEventId: Option[Long]) extends SliceItem</w:t>
      </w:r>
    </w:p>
    <w:p>
      <w:pPr>
        <w:jc w:val="both"/>
      </w:pPr>
      <w:r>
        <w:t>case class DMMessageSearchItem(id: Long) extends SliceItem</w:t>
      </w:r>
    </w:p>
    <w:p>
      <w:pPr>
        <w:jc w:val="both"/>
      </w:pPr>
      <w:r>
        <w:t>case class TopicItem(id: Long) extends SliceItem</w:t>
      </w:r>
    </w:p>
    <w:p>
      <w:pPr>
        <w:jc w:val="both"/>
      </w:pPr>
      <w:r>
        <w:t>case class TypeaheadEventItem(eventId: Long, metadata: Option[TypeaheadMetadata]) extends SliceItem</w:t>
      </w:r>
    </w:p>
    <w:p>
      <w:pPr>
        <w:jc w:val="both"/>
      </w:pPr>
      <w:r>
        <w:t>case class TypeaheadQuerySuggestionItem(query: String, metadata: Option[TypeaheadMetadata])</w:t>
      </w:r>
    </w:p>
    <w:p>
      <w:pPr>
        <w:jc w:val="both"/>
      </w:pPr>
      <w:r>
        <w:t xml:space="preserve">    extends SliceItem</w:t>
      </w:r>
    </w:p>
    <w:p>
      <w:pPr>
        <w:jc w:val="both"/>
      </w:pPr>
      <w:r>
        <w:t>case class TypeaheadUserItem(</w:t>
      </w:r>
    </w:p>
    <w:p>
      <w:pPr>
        <w:jc w:val="both"/>
      </w:pPr>
      <w:r>
        <w:t xml:space="preserve">  userId: Long,</w:t>
      </w:r>
    </w:p>
    <w:p>
      <w:pPr>
        <w:jc w:val="both"/>
      </w:pPr>
      <w:r>
        <w:t xml:space="preserve">  metadata: Option[TypeaheadMetadata],</w:t>
      </w:r>
    </w:p>
    <w:p>
      <w:pPr>
        <w:jc w:val="both"/>
      </w:pPr>
      <w:r>
        <w:t xml:space="preserve">  badges: Seq[UserBadge])</w:t>
      </w:r>
    </w:p>
    <w:p>
      <w:pPr>
        <w:jc w:val="both"/>
      </w:pPr>
      <w:r>
        <w:t xml:space="preserve">    extends SliceItem</w:t>
      </w:r>
    </w:p>
    <w:p>
      <w:pPr>
        <w:jc w:val="both"/>
      </w:pPr>
      <w:r>
        <w:t>case class AdItem(adUnitId: Long, adAccountId: Long) extends SliceItem</w:t>
      </w:r>
    </w:p>
    <w:p>
      <w:pPr>
        <w:jc w:val="both"/>
      </w:pPr>
      <w:r>
        <w:t>case class AdCreativeItem(creativeId: Long, adType: AdType, adAccountId: Long) extends SliceItem</w:t>
      </w:r>
    </w:p>
    <w:p>
      <w:pPr>
        <w:jc w:val="both"/>
      </w:pPr>
      <w:r>
        <w:t>case class AdGroupItem(adGroupId: Long, adAccountId: Long) extends SliceItem</w:t>
      </w:r>
    </w:p>
    <w:p>
      <w:pPr>
        <w:jc w:val="both"/>
      </w:pPr>
      <w:r>
        <w:t>case class CampaignItem(campaignId: Long, adAccountId: Long) extends SliceItem</w:t>
      </w:r>
    </w:p>
    <w:p>
      <w:pPr>
        <w:jc w:val="both"/>
      </w:pPr>
      <w:r>
        <w:t>case class FundingSourceItem(fundingSourceId: Long, adAccountId: Long) extends SliceItem</w:t>
      </w:r>
    </w:p>
    <w:p>
      <w:pPr>
        <w:jc w:val="both"/>
      </w:pPr>
      <w:r/>
    </w:p>
    <w:p>
      <w:pPr>
        <w:jc w:val="both"/>
      </w:pPr>
      <w:r>
        <w:t>sealed trait CursorType</w:t>
      </w:r>
    </w:p>
    <w:p>
      <w:pPr>
        <w:jc w:val="both"/>
      </w:pPr>
      <w:r>
        <w:t>case object PreviousCursor extends CursorType</w:t>
      </w:r>
    </w:p>
    <w:p>
      <w:pPr>
        <w:jc w:val="both"/>
      </w:pPr>
      <w:r>
        <w:t>case object NextCursor extends CursorType</w:t>
      </w:r>
    </w:p>
    <w:p>
      <w:pPr>
        <w:jc w:val="both"/>
      </w:pPr>
      <w:r>
        <w:t>@deprecated(</w:t>
      </w:r>
    </w:p>
    <w:p>
      <w:pPr>
        <w:jc w:val="both"/>
      </w:pPr>
      <w:r>
        <w:t xml:space="preserve">  "GapCursors are not supported by Product Mixer Slice marshallers, if you need support for these reach out to #product-mixer")</w:t>
      </w:r>
    </w:p>
    <w:p>
      <w:pPr>
        <w:jc w:val="both"/>
      </w:pPr>
      <w:r>
        <w:t>case object GapCursor extends CursorType</w:t>
      </w:r>
    </w:p>
    <w:p>
      <w:pPr>
        <w:jc w:val="both"/>
      </w:pPr>
      <w:r/>
    </w:p>
    <w:p>
      <w:pPr>
        <w:jc w:val="both"/>
      </w:pPr>
      <w:r>
        <w:t>// CursorItem extends SliceItem to enable support for GapCursors</w:t>
      </w:r>
    </w:p>
    <w:p>
      <w:pPr>
        <w:jc w:val="both"/>
      </w:pPr>
      <w:r>
        <w:t>case class CursorItem(value: String, cursorType: CursorType) extends SliceItem</w:t>
      </w:r>
    </w:p>
    <w:p>
      <w:pPr>
        <w:jc w:val="both"/>
      </w:pPr>
      <w:r/>
    </w:p>
    <w:p>
      <w:pPr>
        <w:jc w:val="both"/>
      </w:pPr>
      <w:r>
        <w:t>case class SliceInfo(</w:t>
      </w:r>
    </w:p>
    <w:p>
      <w:pPr>
        <w:jc w:val="both"/>
      </w:pPr>
      <w:r>
        <w:t xml:space="preserve">  previousCursor: Option[String],</w:t>
      </w:r>
    </w:p>
    <w:p>
      <w:pPr>
        <w:jc w:val="both"/>
      </w:pPr>
      <w:r>
        <w:t xml:space="preserve">  nextCursor: Option[String])</w:t>
      </w:r>
    </w:p>
    <w:p>
      <w:pPr>
        <w:jc w:val="both"/>
      </w:pPr>
      <w:r/>
    </w:p>
    <w:p>
      <w:pPr>
        <w:jc w:val="both"/>
      </w:pPr>
      <w:r>
        <w:t>case class Slice(</w:t>
      </w:r>
    </w:p>
    <w:p>
      <w:pPr>
        <w:jc w:val="both"/>
      </w:pPr>
      <w:r>
        <w:t xml:space="preserve">  items: Seq[SliceItem],</w:t>
      </w:r>
    </w:p>
    <w:p>
      <w:pPr>
        <w:jc w:val="both"/>
      </w:pPr>
      <w:r>
        <w:t xml:space="preserve">  sliceInfo: SliceInfo)</w:t>
      </w:r>
    </w:p>
    <w:p>
      <w:pPr>
        <w:jc w:val="both"/>
      </w:pPr>
      <w:r>
        <w:t xml:space="preserve">    extends HasMarshalling</w:t>
      </w:r>
    </w:p>
    <w:p>
      <w:pPr>
        <w:jc w:val="both"/>
      </w:pPr>
      <w:r/>
    </w:p>
    <w:p>
      <w:pPr>
        <w:jc w:val="both"/>
      </w:pPr>
      <w:r>
        <w:t>sealed trait TypeaheadResultContextType</w:t>
      </w:r>
    </w:p>
    <w:p>
      <w:pPr>
        <w:jc w:val="both"/>
      </w:pPr>
      <w:r>
        <w:t>case object You extends TypeaheadResultContextType</w:t>
      </w:r>
    </w:p>
    <w:p>
      <w:pPr>
        <w:jc w:val="both"/>
      </w:pPr>
      <w:r>
        <w:t>case object Location extends TypeaheadResultContextType</w:t>
      </w:r>
    </w:p>
    <w:p>
      <w:pPr>
        <w:jc w:val="both"/>
      </w:pPr>
      <w:r>
        <w:t>case object NumFollowers extends TypeaheadResultContextType</w:t>
      </w:r>
    </w:p>
    <w:p>
      <w:pPr>
        <w:jc w:val="both"/>
      </w:pPr>
      <w:r>
        <w:t>case object FollowRelationship extends TypeaheadResultContextType</w:t>
      </w:r>
    </w:p>
    <w:p>
      <w:pPr>
        <w:jc w:val="both"/>
      </w:pPr>
      <w:r>
        <w:t>case object Bio extends TypeaheadResultContextType</w:t>
      </w:r>
    </w:p>
    <w:p>
      <w:pPr>
        <w:jc w:val="both"/>
      </w:pPr>
      <w:r>
        <w:t>case object NumTweets extends TypeaheadResultContextType</w:t>
      </w:r>
    </w:p>
    <w:p>
      <w:pPr>
        <w:jc w:val="both"/>
      </w:pPr>
      <w:r>
        <w:t>case object Trending extends TypeaheadResultContextType</w:t>
      </w:r>
    </w:p>
    <w:p>
      <w:pPr>
        <w:jc w:val="both"/>
      </w:pPr>
      <w:r>
        <w:t>case object HighlightedLabel extends TypeaheadResultContextType</w:t>
      </w:r>
    </w:p>
    <w:p>
      <w:pPr>
        <w:jc w:val="both"/>
      </w:pPr>
      <w:r/>
    </w:p>
    <w:p>
      <w:pPr>
        <w:jc w:val="both"/>
      </w:pPr>
      <w:r>
        <w:t>case class TypeaheadResultContext(</w:t>
      </w:r>
    </w:p>
    <w:p>
      <w:pPr>
        <w:jc w:val="both"/>
      </w:pPr>
      <w:r>
        <w:t xml:space="preserve">  contextType: TypeaheadResultContextType,</w:t>
      </w:r>
    </w:p>
    <w:p>
      <w:pPr>
        <w:jc w:val="both"/>
      </w:pPr>
      <w:r>
        <w:t xml:space="preserve">  displayString: String,</w:t>
      </w:r>
    </w:p>
    <w:p>
      <w:pPr>
        <w:jc w:val="both"/>
      </w:pPr>
      <w:r>
        <w:t xml:space="preserve">  iconUrl: Option[String])</w:t>
      </w:r>
    </w:p>
    <w:p>
      <w:pPr>
        <w:jc w:val="both"/>
      </w:pPr>
      <w:r/>
    </w:p>
    <w:p>
      <w:pPr>
        <w:jc w:val="both"/>
      </w:pPr>
      <w:r>
        <w:t>case class TypeaheadMetadata(</w:t>
      </w:r>
    </w:p>
    <w:p>
      <w:pPr>
        <w:jc w:val="both"/>
      </w:pPr>
      <w:r>
        <w:t xml:space="preserve">  score: Double,</w:t>
      </w:r>
    </w:p>
    <w:p>
      <w:pPr>
        <w:jc w:val="both"/>
      </w:pPr>
      <w:r>
        <w:t xml:space="preserve">  source: Option[String],</w:t>
      </w:r>
    </w:p>
    <w:p>
      <w:pPr>
        <w:jc w:val="both"/>
      </w:pPr>
      <w:r>
        <w:t xml:space="preserve">  context: Option[TypeaheadResultContext])</w:t>
      </w:r>
    </w:p>
    <w:p>
      <w:pPr>
        <w:jc w:val="both"/>
      </w:pPr>
      <w:r/>
    </w:p>
    <w:p>
      <w:pPr>
        <w:jc w:val="both"/>
      </w:pPr>
      <w:r>
        <w:t>// Used to render badges in Typeahead, such as Business-affiliated badges</w:t>
      </w:r>
    </w:p>
    <w:p>
      <w:pPr>
        <w:jc w:val="both"/>
      </w:pPr>
      <w:r>
        <w:t>case class UserBadge(badgeType: String, badgeUrl: String, description: String)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