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/>
    </w:p>
    <w:p>
      <w:pPr>
        <w:jc w:val="both"/>
      </w:pPr>
      <w:r>
        <w:t>case class Timeline(</w:t>
      </w:r>
    </w:p>
    <w:p>
      <w:pPr>
        <w:jc w:val="both"/>
      </w:pPr>
      <w:r>
        <w:t xml:space="preserve">  id: String,</w:t>
      </w:r>
    </w:p>
    <w:p>
      <w:pPr>
        <w:jc w:val="both"/>
      </w:pPr>
      <w:r>
        <w:t xml:space="preserve">  instructions: Seq[TimelineInstruction],</w:t>
      </w:r>
    </w:p>
    <w:p>
      <w:pPr>
        <w:jc w:val="both"/>
      </w:pPr>
      <w:r>
        <w:t xml:space="preserve">  // responseObjects::feedbackActions actions are populated implicitly, see UrtTransportMarshaller</w:t>
      </w:r>
    </w:p>
    <w:p>
      <w:pPr>
        <w:jc w:val="both"/>
      </w:pPr>
      <w:r>
        <w:t xml:space="preserve">  metadata: Option[TimelineMetadata] = None)</w:t>
      </w:r>
    </w:p>
    <w:p>
      <w:pPr>
        <w:jc w:val="both"/>
      </w:pPr>
      <w:r>
        <w:t xml:space="preserve">    extends HasMarshalling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