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"abdecider",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"finatra-internal/international/src/main/scala/com/twitter/finatra/international/modules",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"finatra/jackson/src/main/scala/com/twitter/finatra/jackson/modules",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"product-mixer/core/src/main/scala/com/twitter/product_mixer/core/module/product_mixer_flags",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"timelines/src/main/scala/com/twitter/timelines/features/app",</w:t>
      </w:r>
    </w:p>
    <w:p>
      <w:pPr>
        <w:jc w:val="both"/>
      </w:pPr>
      <w:r>
        <w:t xml:space="preserve">        "util-internal/scribe",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"abdecider",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"finatra-internal/international/src/main/scala/com/twitter/finatra/international/modules",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"finatra/jackson/src/main/scala/com/twitter/finatra/jackson/modules",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"product-mixer/core/src/main/scala/com/twitter/product_mixer/core/module/product_mixer_flags",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"timelines/src/main/scala/com/twitter/timelines/features/app",</w:t>
      </w:r>
    </w:p>
    <w:p>
      <w:pPr>
        <w:jc w:val="both"/>
      </w:pPr>
      <w:r>
        <w:t xml:space="preserve">        "util-internal/scribe",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