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"representation-manager/client/src/main/scala/com/twitter/representation_manager",</w:t>
      </w:r>
    </w:p>
    <w:p>
      <w:pPr>
        <w:jc w:val="both"/>
      </w:pPr>
      <w:r>
        <w:t xml:space="preserve">        "representation-manager/client/src/main/scala/com/twitter/representation_manager/config",</w:t>
      </w:r>
    </w:p>
    <w:p>
      <w:pPr>
        <w:jc w:val="both"/>
      </w:pPr>
      <w:r>
        <w:t xml:space="preserve">        "representation-manager/server/src/main/scala/com/twitter/representation_manager/migration",</w:t>
      </w:r>
    </w:p>
    <w:p>
      <w:pPr>
        <w:jc w:val="both"/>
      </w:pPr>
      <w:r>
        <w:t xml:space="preserve">        "representation-scorer/server/src/main/scala/com/twitter/representationscorer/common",</w:t>
      </w:r>
    </w:p>
    <w:p>
      <w:pPr>
        <w:jc w:val="both"/>
      </w:pPr>
      <w:r>
        <w:t xml:space="preserve">        "servo/util",</w:t>
      </w:r>
    </w:p>
    <w:p>
      <w:pPr>
        <w:jc w:val="both"/>
      </w:pPr>
      <w:r>
        <w:t xml:space="preserve">        "src/scala/com/twitter/simclusters_v2/stores",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