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com.twitter.search.common.root.SearchRootServer;</w:t>
      </w:r>
    </w:p>
    <w:p>
      <w:pPr>
        <w:jc w:val="both"/>
      </w:pPr>
      <w:r>
        <w:t>import com.twitter.search.earlybird.thrift.EarlybirdService;</w:t>
      </w:r>
    </w:p>
    <w:p>
      <w:pPr>
        <w:jc w:val="both"/>
      </w:pPr>
      <w:r/>
    </w:p>
    <w:p>
      <w:pPr>
        <w:jc w:val="both"/>
      </w:pPr>
      <w:r>
        <w:t>public class ProtectedRootServer extends SearchRootServer&lt;EarlybirdService.ServiceIface&gt; {</w:t>
      </w:r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ProtectedRootServer(ProtectedRootService svc, Service&lt;byte[], byte[]&gt; byteSvc) {</w:t>
      </w:r>
    </w:p>
    <w:p>
      <w:pPr>
        <w:jc w:val="both"/>
      </w:pPr>
      <w:r>
        <w:t xml:space="preserve">    super(svc, byteSvc);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