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>
        <w:t>import javax.inject.Singleton;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com.twitter.search.common.root.SearchRootServer;</w:t>
      </w:r>
    </w:p>
    <w:p>
      <w:pPr>
        <w:jc w:val="both"/>
      </w:pPr>
      <w:r>
        <w:t>import com.twitter.search.earlybird.thrift.EarlybirdService;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public class RealtimeCgRootServer extends SearchRootServer&lt;EarlybirdService.ServiceIface&gt; {</w:t>
      </w:r>
    </w:p>
    <w:p>
      <w:pPr>
        <w:jc w:val="both"/>
      </w:pPr>
      <w:r/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RealtimeCgRootServer(RealtimeCgRootService svc, Service&lt;byte[], byte[]&gt; byteSvc) {</w:t>
      </w:r>
    </w:p>
    <w:p>
      <w:pPr>
        <w:jc w:val="both"/>
      </w:pPr>
      <w:r>
        <w:t xml:space="preserve">    super(svc, byteSvc);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