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Interaction Graph</w:t>
      </w:r>
    </w:p>
    <w:p>
      <w:pPr>
        <w:jc w:val="both"/>
      </w:pPr>
      <w:r/>
    </w:p>
    <w:p>
      <w:pPr>
        <w:jc w:val="both"/>
      </w:pPr>
      <w:r>
        <w:t>This folder contains the code used in the offline pipeline for real graph v2.</w:t>
      </w:r>
    </w:p>
    <w:p>
      <w:pPr>
        <w:jc w:val="both"/>
      </w:pPr>
      <w:r/>
    </w:p>
    <w:p>
      <w:pPr>
        <w:jc w:val="both"/>
      </w:pPr>
      <w:r>
        <w:t>The ETL jobs are contained in folders prefaced with `agg_*`, while the jobs powering the ml pipeline are in the ml folder.</w:t>
      </w:r>
    </w:p>
    <w:p>
      <w:pPr>
        <w:jc w:val="both"/>
      </w:pPr>
      <w:r/>
    </w:p>
    <w:p>
      <w:pPr>
        <w:jc w:val="both"/>
      </w:pPr>
      <w:r>
        <w:t xml:space="preserve">Note that the jobs in the ml folder are mostly ETL jobs; the main training and scoring happens within BQML. 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