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This package/target is separate from other simclusters common packages because the ml/api dep is</w:t>
      </w:r>
    </w:p>
    <w:p>
      <w:pPr>
        <w:jc w:val="both"/>
      </w:pPr>
      <w:r>
        <w:t># large (350MB+). Having it as a separate target means that we can avoid bundling it with targets</w:t>
      </w:r>
    </w:p>
    <w:p>
      <w:pPr>
        <w:jc w:val="both"/>
      </w:pPr>
      <w:r>
        <w:t># that do not need it.</w:t>
      </w:r>
    </w:p>
    <w:p>
      <w:pPr>
        <w:jc w:val="both"/>
      </w:pPr>
      <w:r>
        <w:t>scala_library(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"src/scala/com/twitter/ml/api/util",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