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com.twitter.simclusters_v2.scalding.inferred_entities</w:t>
      </w:r>
    </w:p>
    <w:p>
      <w:pPr>
        <w:jc w:val="both"/>
      </w:pPr>
      <w:r/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com.twitter.simclusters_v2.hdfs_sources.EntityEmbeddingsSources</w:t>
      </w:r>
    </w:p>
    <w:p>
      <w:pPr>
        <w:jc w:val="both"/>
      </w:pPr>
      <w:r>
        <w:t>import com.twitter.simclusters_v2.thriftscala.ClusterType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com.twitter.simclusters_v2.thriftscala.InferredEntity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com.twitter.simclusters_v2.thriftscala.SemanticCoreEntityWithScore</w:t>
      </w:r>
    </w:p>
    <w:p>
      <w:pPr>
        <w:jc w:val="both"/>
      </w:pPr>
      <w:r>
        <w:t>import com.twitter.simclusters_v2.thriftscala.SimClustersInferredEntities</w:t>
      </w:r>
    </w:p>
    <w:p>
      <w:pPr>
        <w:jc w:val="both"/>
      </w:pPr>
      <w:r>
        <w:t>import com.twitter.simclusters_v2.thriftscala.SimClustersSource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Opt-out compliance for SimClusters means offering users an option to opt out of clusters that</w:t>
      </w:r>
    </w:p>
    <w:p>
      <w:pPr>
        <w:jc w:val="both"/>
      </w:pPr>
      <w:r>
        <w:t xml:space="preserve"> * have inferred legible meanings. This file sets some of the data sources &amp; thresholds from which</w:t>
      </w:r>
    </w:p>
    <w:p>
      <w:pPr>
        <w:jc w:val="both"/>
      </w:pPr>
      <w:r>
        <w:t xml:space="preserve"> * the inferred entities are considered legible. One should always refer to the sources &amp; constants</w:t>
      </w:r>
    </w:p>
    <w:p>
      <w:pPr>
        <w:jc w:val="both"/>
      </w:pPr>
      <w:r>
        <w:t xml:space="preserve"> * here for SimClusters' inferred entity compliance work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InferredEntities {</w:t>
      </w:r>
    </w:p>
    <w:p>
      <w:pPr>
        <w:jc w:val="both"/>
      </w:pPr>
      <w:r>
        <w:t xml:space="preserve">  val MHRootPath: String =</w:t>
      </w:r>
    </w:p>
    <w:p>
      <w:pPr>
        <w:jc w:val="both"/>
      </w:pPr>
      <w:r>
        <w:t xml:space="preserve">    "/user/cassowary/manhattan_sequence_files/simclusters_v2_inferred_entities"</w:t>
      </w:r>
    </w:p>
    <w:p>
      <w:pPr>
        <w:jc w:val="both"/>
      </w:pPr>
      <w:r/>
    </w:p>
    <w:p>
      <w:pPr>
        <w:jc w:val="both"/>
      </w:pPr>
      <w:r>
        <w:t xml:space="preserve">  // Convenience objects for defining cluster sources</w:t>
      </w:r>
    </w:p>
    <w:p>
      <w:pPr>
        <w:jc w:val="both"/>
      </w:pPr>
      <w:r>
        <w:t xml:space="preserve">  val InterestedIn2020 =</w:t>
      </w:r>
    </w:p>
    <w:p>
      <w:pPr>
        <w:jc w:val="both"/>
      </w:pPr>
      <w:r>
        <w:t xml:space="preserve">    SimClustersSource(ClusterType.InterestedIn, ModelVersion.Model20m145k2020)</w:t>
      </w:r>
    </w:p>
    <w:p>
      <w:pPr>
        <w:jc w:val="both"/>
      </w:pPr>
      <w:r/>
    </w:p>
    <w:p>
      <w:pPr>
        <w:jc w:val="both"/>
      </w:pPr>
      <w:r>
        <w:t xml:space="preserve">  val Dec11KnownFor = SimClustersSource(ClusterType.KnownFor, ModelVersion.Model20m145kDec11)</w:t>
      </w:r>
    </w:p>
    <w:p>
      <w:pPr>
        <w:jc w:val="both"/>
      </w:pPr>
      <w:r/>
    </w:p>
    <w:p>
      <w:pPr>
        <w:jc w:val="both"/>
      </w:pPr>
      <w:r>
        <w:t xml:space="preserve">  val UpdatedKnownFor = SimClustersSource(ClusterType.KnownFor, ModelVersion.Model20m145kUpdated)</w:t>
      </w:r>
    </w:p>
    <w:p>
      <w:pPr>
        <w:jc w:val="both"/>
      </w:pPr>
      <w:r/>
    </w:p>
    <w:p>
      <w:pPr>
        <w:jc w:val="both"/>
      </w:pPr>
      <w:r>
        <w:t xml:space="preserve">  val KnownFor2020 = SimClustersSource(ClusterType.KnownFor, ModelVersion.Model20m145k2020)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the threshold at which we consider a simcluster "legible" through an entity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MinLegibleEntityScore = 0.6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Query for the entity embeddings that are used for SimClusters compliance. We will use these</w:t>
      </w:r>
    </w:p>
    <w:p>
      <w:pPr>
        <w:jc w:val="both"/>
      </w:pPr>
      <w:r>
        <w:t xml:space="preserve">   * entity embeddings for a cluster to allow a user to opt out of a cluster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getLegibleEntityEmbeddings(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TypedPipe[(ClusterId, Seq[SemanticCoreEntityWithScore])] = {</w:t>
      </w:r>
    </w:p>
    <w:p>
      <w:pPr>
        <w:jc w:val="both"/>
      </w:pPr>
      <w:r>
        <w:t xml:space="preserve">    val entityEmbeddings = EntityEmbeddingsSources</w:t>
      </w:r>
    </w:p>
    <w:p>
      <w:pPr>
        <w:jc w:val="both"/>
      </w:pPr>
      <w:r>
        <w:t xml:space="preserve">      .getReverseIndexedSemanticCoreEntityEmbeddingsSource(</w:t>
      </w:r>
    </w:p>
    <w:p>
      <w:pPr>
        <w:jc w:val="both"/>
      </w:pPr>
      <w:r>
        <w:t xml:space="preserve">        EmbeddingType.FavBasedSematicCoreEntity,</w:t>
      </w:r>
    </w:p>
    <w:p>
      <w:pPr>
        <w:jc w:val="both"/>
      </w:pPr>
      <w:r>
        <w:t xml:space="preserve">        ModelVersions.Model20M145K2020, // only support the latest 2020 model</w:t>
      </w:r>
    </w:p>
    <w:p>
      <w:pPr>
        <w:jc w:val="both"/>
      </w:pPr>
      <w:r>
        <w:t xml:space="preserve">        dateRange.embiggen(Days(7)(timeZone)) // read 7 days before &amp; after to give buffer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filterEntityEmbeddingsByScore(entityEmbeddings, MinLegibleEntityScore)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 entities whose score are above threshold</w:t>
      </w:r>
    </w:p>
    <w:p>
      <w:pPr>
        <w:jc w:val="both"/>
      </w:pPr>
      <w:r>
        <w:t xml:space="preserve">  def filterEntityEmbeddingsByScore(</w:t>
      </w:r>
    </w:p>
    <w:p>
      <w:pPr>
        <w:jc w:val="both"/>
      </w:pPr>
      <w:r>
        <w:t xml:space="preserve">    entityEmbeddings: TypedPipe[(ClusterId, Seq[SemanticCoreEntityWithScore])],</w:t>
      </w:r>
    </w:p>
    <w:p>
      <w:pPr>
        <w:jc w:val="both"/>
      </w:pPr>
      <w:r>
        <w:t xml:space="preserve">    minEntityScore: Double</w:t>
      </w:r>
    </w:p>
    <w:p>
      <w:pPr>
        <w:jc w:val="both"/>
      </w:pPr>
      <w:r>
        <w:t xml:space="preserve">  ): TypedPipe[(ClusterId, Seq[SemanticCoreEntityWithScore])] = {</w:t>
      </w:r>
    </w:p>
    <w:p>
      <w:pPr>
        <w:jc w:val="both"/>
      </w:pPr>
      <w:r>
        <w:t xml:space="preserve">    entityEmbeddings.flatMap {</w:t>
      </w:r>
    </w:p>
    <w:p>
      <w:pPr>
        <w:jc w:val="both"/>
      </w:pPr>
      <w:r>
        <w:t xml:space="preserve">      case (clusterId, entities) =&gt;</w:t>
      </w:r>
    </w:p>
    <w:p>
      <w:pPr>
        <w:jc w:val="both"/>
      </w:pPr>
      <w:r>
        <w:t xml:space="preserve">        val validEntities = entities.filter { entity =&gt; entity.score &gt;= minEntityScore }</w:t>
      </w:r>
    </w:p>
    <w:p>
      <w:pPr>
        <w:jc w:val="both"/>
      </w:pPr>
      <w:r>
        <w:t xml:space="preserve">        if (validEntities.nonEmpty) {</w:t>
      </w:r>
    </w:p>
    <w:p>
      <w:pPr>
        <w:jc w:val="both"/>
      </w:pPr>
      <w:r>
        <w:t xml:space="preserve">          Some((clusterId, validEntities))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inferred entities from different sources, combine the results into job's output format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combineResults(</w:t>
      </w:r>
    </w:p>
    <w:p>
      <w:pPr>
        <w:jc w:val="both"/>
      </w:pPr>
      <w:r>
        <w:t xml:space="preserve">    results: TypedPipe[(UserId, Seq[InferredEntity])]*</w:t>
      </w:r>
    </w:p>
    <w:p>
      <w:pPr>
        <w:jc w:val="both"/>
      </w:pPr>
      <w:r>
        <w:t xml:space="preserve">  ): TypedPipe[(UserId, SimClustersInferredEntities)] = {</w:t>
      </w:r>
    </w:p>
    <w:p>
      <w:pPr>
        <w:jc w:val="both"/>
      </w:pPr>
      <w:r>
        <w:t xml:space="preserve">    results</w:t>
      </w:r>
    </w:p>
    <w:p>
      <w:pPr>
        <w:jc w:val="both"/>
      </w:pPr>
      <w:r>
        <w:t xml:space="preserve">      .reduceLeft(_ ++ _)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inferredEntities) =&gt;</w:t>
      </w:r>
    </w:p>
    <w:p>
      <w:pPr>
        <w:jc w:val="both"/>
      </w:pPr>
      <w:r>
        <w:t xml:space="preserve">          (userId, SimClustersInferredEntities(inferredEntities))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