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"3rdparty/jvm/com/twitter/bijection:util",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"relevance-platform/src/main/scala/com/twitter/relevance_platform/simclustersann/multicluster",</w:t>
      </w:r>
    </w:p>
    <w:p>
      <w:pPr>
        <w:jc w:val="both"/>
      </w:pPr>
      <w:r>
        <w:t xml:space="preserve">        "src/scala/com/twitter/algebird_internal/injection",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"src/scala/com/twitter/simclusters_v2/summingbird/common",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"src/scala/com/twitter/storehaus_internal/memcache/config",</w:t>
      </w:r>
    </w:p>
    <w:p>
      <w:pPr>
        <w:jc w:val="both"/>
      </w:pPr>
      <w:r>
        <w:t xml:space="preserve">        "src/scala/com/twitter/storehaus_internal/offline",</w:t>
      </w:r>
    </w:p>
    <w:p>
      <w:pPr>
        <w:jc w:val="both"/>
      </w:pPr>
      <w:r>
        <w:t xml:space="preserve">        "src/scala/com/twitter/storehaus_internal/online",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"src/scala/com/twitter/wtf/summingbird/sources/common",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"src/thrift/com/twitter/wtf/interest:interest-thrift-scala",</w:t>
      </w:r>
    </w:p>
    <w:p>
      <w:pPr>
        <w:jc w:val="both"/>
      </w:pPr>
      <w:r>
        <w:t xml:space="preserve">        "src/thrift/com/twitter/wtf/utt:utt-scala",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"strato/src/main/scala/com/twitter/strato/mh",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