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"unified_user_actions/enricher/src/main/scala/com/twitter/unified_user_actions/enricher",</w:t>
      </w:r>
    </w:p>
    <w:p>
      <w:pPr>
        <w:jc w:val="both"/>
      </w:pPr>
      <w:r>
        <w:t xml:space="preserve">        "unified_user_actions/enricher/src/main/scala/com/twitter/unified_user_actions/enricher/hydrator:base",</w:t>
      </w:r>
    </w:p>
    <w:p>
      <w:pPr>
        <w:jc w:val="both"/>
      </w:pPr>
      <w:r>
        <w:t xml:space="preserve">        "unified_user_actions/enricher/src/main/scala/com/twitter/unified_user_actions/enricher/partitioner:base",</w:t>
      </w:r>
    </w:p>
    <w:p>
      <w:pPr>
        <w:jc w:val="both"/>
      </w:pPr>
      <w:r>
        <w:t xml:space="preserve">        "unified_user_actions/enricher/src/main/thrift/com/twitter/unified_user_actions/enricher/internal:internal-scala",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