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com.twitter.unified_user_actions.enricher.partitioner</w:t>
      </w:r>
    </w:p>
    <w:p>
      <w:pPr>
        <w:jc w:val="both"/>
      </w:pPr>
      <w:r/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/>
    </w:p>
    <w:p>
      <w:pPr>
        <w:jc w:val="both"/>
      </w:pPr>
      <w:r>
        <w:t>trait Partitioner {</w:t>
      </w:r>
    </w:p>
    <w:p>
      <w:pPr>
        <w:jc w:val="both"/>
      </w:pPr>
      <w:r>
        <w:t xml:space="preserve">  def repartition(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Option[EnrichmentKey]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