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"3rdparty/jvm/com/squareup/okhttp:okhttp3",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"src/thrift/com/twitter/content-health/sensitivemediasettings:sensitivemediasettings-scala",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"visibility/lib/src/main/scala/com/twitter/visibility/rules",</w:t>
      </w:r>
    </w:p>
    <w:p>
      <w:pPr>
        <w:jc w:val="both"/>
      </w:pPr>
      <w:r>
        <w:t xml:space="preserve">        "visibility/lib/src/main/scala/com/twitter/visibility/rules/generators",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    "visibility/lib/src/main/thrift/com/twitter/visibility/strato:vf-strato-scala",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