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2148840" cy="1049433"/>
            <wp:docPr id="1" name="Picture 1" descr="WashU Repeat Browser logo"/>
            <wp:cNvGraphicFramePr>
              <a:graphicFrameLocks noChangeAspect="1"/>
            </wp:cNvGraphicFramePr>
            <a:graphic>
              <a:graphicData uri="http://schemas.openxmlformats.org/drawingml/2006/picture">
                <pic:pic>
                  <pic:nvPicPr>
                    <pic:cNvPr id="0" name="repeat-browser-logo.png"/>
                    <pic:cNvPicPr/>
                  </pic:nvPicPr>
                  <pic:blipFill>
                    <a:blip r:embed="rId11"/>
                    <a:stretch>
                      <a:fillRect/>
                    </a:stretch>
                  </pic:blipFill>
                  <pic:spPr>
                    <a:xfrm>
                      <a:off x="0" y="0"/>
                      <a:ext cx="2148840" cy="1049433"/>
                    </a:xfrm>
                    <a:prstGeom prst="rect"/>
                  </pic:spPr>
                </pic:pic>
              </a:graphicData>
            </a:graphic>
          </wp:inline>
        </w:drawing>
      </w:r>
    </w:p>
    <w:p>
      <w:pPr>
        <w:spacing w:after="60"/>
        <w:jc w:val="center"/>
      </w:pPr>
      <w:r>
        <w:rPr>
          <w:rFonts w:ascii="Calibri" w:hAnsi="Calibri"/>
          <w:b/>
          <w:i w:val="0"/>
          <w:color w:val="BB3E55"/>
          <w:sz w:val="46"/>
        </w:rPr>
        <w:t>WashU Repeat Browser</w:t>
      </w:r>
    </w:p>
    <w:p>
      <w:pPr>
        <w:spacing w:after="240"/>
        <w:jc w:val="center"/>
      </w:pPr>
      <w:r>
        <w:rPr>
          <w:rFonts w:ascii="Calibri" w:hAnsi="Calibri"/>
          <w:b w:val="0"/>
          <w:i w:val="0"/>
          <w:color w:val="5F5F5F"/>
          <w:sz w:val="22"/>
        </w:rPr>
        <w:t>Draft responses for an AWS Open Data feature or provider profile</w:t>
      </w:r>
    </w:p>
    <w:p>
      <w:pPr>
        <w:spacing w:after="280"/>
        <w:jc w:val="center"/>
      </w:pPr>
      <w:r>
        <w:rPr>
          <w:rFonts w:ascii="Calibri" w:hAnsi="Calibri"/>
          <w:b w:val="0"/>
          <w:i/>
          <w:color w:val="5F5F5F"/>
          <w:sz w:val="20"/>
        </w:rPr>
        <w:t>Draft - concise, data-focused language for provider review</w:t>
      </w:r>
    </w:p>
    <w:p>
      <w:pPr>
        <w:pStyle w:val="Heading2"/>
        <w:keepNext/>
      </w:pPr>
      <w:r>
        <w:t>1. Can you briefly introduce yourself and your work?</w:t>
      </w:r>
    </w:p>
    <w:p>
      <w:pPr>
        <w:widowControl/>
        <w:spacing w:after="160"/>
      </w:pPr>
      <w:r>
        <w:t>The Ting Wang Laboratory at Washington University in St. Louis develops computational and visualization resources for understanding the human epigenome. The WashU Repeat Browser extends this work to repetitive elements and transposable elements, making processed genomic and epigenomic profiles easier to discover, compare and inspect at multiple biological scales.</w:t>
      </w:r>
    </w:p>
    <w:p>
      <w:pPr>
        <w:pStyle w:val="Heading2"/>
        <w:keepNext/>
      </w:pPr>
      <w:r>
        <w:t>2. What problem or challenge is your work trying to solve?</w:t>
      </w:r>
    </w:p>
    <w:p>
      <w:pPr>
        <w:widowControl/>
        <w:spacing w:after="160"/>
      </w:pPr>
      <w:r>
        <w:t>Repetitive elements make up a large fraction of mammalian genomes, but their regulatory activity is difficult to analyze. Multi-mapped reads, many related repeat copies and differences between subfamily-level and locus-level signals can obscure meaningful patterns. Public datasets are also distributed across assays and repositories, which raises the cost of comparing them consistently.</w:t>
      </w:r>
    </w:p>
    <w:p>
      <w:pPr>
        <w:pStyle w:val="Heading2"/>
        <w:keepNext/>
      </w:pPr>
      <w:r>
        <w:t>3. How does your work address this problem?</w:t>
      </w:r>
    </w:p>
    <w:p>
      <w:pPr>
        <w:widowControl/>
        <w:spacing w:after="160"/>
      </w:pPr>
      <w:r>
        <w:t>The Repeat Browser processing pipeline organizes public sequencing data by assembly and assay, handles uniquely and multi-mapped reads and produces consistent summaries for transposable-element subfamilies. The web application connects a Heatmap View, Consensus View and Genome View so users can move from broad enrichment patterns to consensus-sequence profiles and individual genomic copies. The underlying CSV, BigWig and Zarr files also remain available for programmatic analysis.</w:t>
      </w:r>
    </w:p>
    <w:p>
      <w:r>
        <w:br w:type="page"/>
      </w:r>
    </w:p>
    <w:p>
      <w:pPr>
        <w:pStyle w:val="Heading2"/>
        <w:keepNext/>
      </w:pPr>
      <w:r>
        <w:t>4. How will AWS contribute to this work?</w:t>
      </w:r>
    </w:p>
    <w:p>
      <w:pPr>
        <w:widowControl/>
        <w:spacing w:after="160"/>
      </w:pPr>
      <w:r>
        <w:t>AWS Open Data hosting will provide a stable public S3 location for anonymous access to the processed collection. Researchers will be able to retrieve only the metadata table, genomic range or Zarr chunk required for an analysis rather than downloading the complete archive. A Registry of Open Data entry and runnable tutorial will improve discovery and make the same data accessible to browser users, bioinformaticians and cloud-based workflows.</w:t>
      </w:r>
    </w:p>
    <w:p>
      <w:pPr>
        <w:pStyle w:val="Heading2"/>
        <w:keepNext/>
      </w:pPr>
      <w:r>
        <w:t>5. Why is this work important, and what impact do you hope it will have?</w:t>
      </w:r>
    </w:p>
    <w:p>
      <w:pPr>
        <w:widowControl/>
        <w:spacing w:after="160"/>
      </w:pPr>
      <w:r>
        <w:t>The current collection contains approximately 8,774 indexed entries for human hg38 and mouse mm10 across CAGE-seq, ATAC-seq, DNase-seq, histone and transcription-factor ChIP-seq and related resources. Making these profiles openly accessible lowers the barrier to studying how repetitive elements contribute to gene regulation. Published examples include STAT1 enrichment over MER41B after IFNG stimulation and activation of LTR12C after epigenetic treatment. We hope the resource supports reproducible follow-up analyses and helps researchers identify regulatory relationships that would be difficult to see with gene-centered tools alone.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5F5F"/>
        <w:sz w:val="17"/>
      </w:rPr>
      <w:t xml:space="preserve">Ting Wang Laboratory - Washington University in St. Louis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F5F5F"/>
        <w:sz w:val="17"/>
      </w:rPr>
      <w:t>WashU Repeat Browser | AWS Open Data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BB3E5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BB3E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B3E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