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2148840" cy="1049433"/>
            <wp:docPr id="1" name="Picture 1" descr="WashU Repeat Browser logo"/>
            <wp:cNvGraphicFramePr>
              <a:graphicFrameLocks noChangeAspect="1"/>
            </wp:cNvGraphicFramePr>
            <a:graphic>
              <a:graphicData uri="http://schemas.openxmlformats.org/drawingml/2006/picture">
                <pic:pic>
                  <pic:nvPicPr>
                    <pic:cNvPr id="0" name="repeat-browser-logo.png"/>
                    <pic:cNvPicPr/>
                  </pic:nvPicPr>
                  <pic:blipFill>
                    <a:blip r:embed="rId11"/>
                    <a:stretch>
                      <a:fillRect/>
                    </a:stretch>
                  </pic:blipFill>
                  <pic:spPr>
                    <a:xfrm>
                      <a:off x="0" y="0"/>
                      <a:ext cx="2148840" cy="1049433"/>
                    </a:xfrm>
                    <a:prstGeom prst="rect"/>
                  </pic:spPr>
                </pic:pic>
              </a:graphicData>
            </a:graphic>
          </wp:inline>
        </w:drawing>
      </w:r>
    </w:p>
    <w:p>
      <w:pPr>
        <w:spacing w:after="60"/>
        <w:jc w:val="center"/>
      </w:pPr>
      <w:r>
        <w:rPr>
          <w:rFonts w:ascii="Calibri" w:hAnsi="Calibri"/>
          <w:b/>
          <w:i w:val="0"/>
          <w:color w:val="BB3E55"/>
          <w:sz w:val="46"/>
        </w:rPr>
        <w:t>AWS Open Data Sponsorship Application</w:t>
      </w:r>
    </w:p>
    <w:p>
      <w:pPr>
        <w:spacing w:after="240"/>
        <w:jc w:val="center"/>
      </w:pPr>
      <w:r>
        <w:rPr>
          <w:rFonts w:ascii="Calibri" w:hAnsi="Calibri"/>
          <w:b w:val="0"/>
          <w:i w:val="0"/>
          <w:color w:val="5F5F5F"/>
          <w:sz w:val="22"/>
        </w:rPr>
        <w:t>WashU Repeat Browser - prepared from the current AWS application fields</w:t>
      </w:r>
    </w:p>
    <w:p>
      <w:pPr>
        <w:spacing w:after="240" w:before="80"/>
        <w:ind w:left="288" w:right="288"/>
      </w:pPr>
      <w:r>
        <w:rPr>
          <w:rFonts w:ascii="Calibri" w:hAnsi="Calibri"/>
          <w:b/>
          <w:i w:val="0"/>
          <w:color w:val="BB3E55"/>
          <w:sz w:val="21"/>
        </w:rPr>
        <w:t xml:space="preserve">Draft status: </w:t>
      </w:r>
      <w:r>
        <w:rPr>
          <w:rFonts w:ascii="Calibri" w:hAnsi="Calibri"/>
          <w:b w:val="0"/>
          <w:i w:val="0"/>
          <w:color w:val="262626"/>
          <w:sz w:val="21"/>
        </w:rPr>
        <w:t>provider-supplied fields have been incorporated and the responses are ready for final review.</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5E9EC"/>
            <w:vAlign w:val="center"/>
            <w:tcMar>
              <w:top w:w="90" w:type="dxa"/>
              <w:start w:w="120" w:type="dxa"/>
              <w:bottom w:w="90" w:type="dxa"/>
              <w:end w:w="120" w:type="dxa"/>
            </w:tcMar>
          </w:tcPr>
          <w:p>
            <w:pPr>
              <w:spacing w:after="0"/>
            </w:pPr>
            <w:r>
              <w:rPr>
                <w:rFonts w:ascii="Calibri" w:hAnsi="Calibri"/>
                <w:b/>
                <w:i w:val="0"/>
                <w:color w:val="BB3E55"/>
                <w:sz w:val="21"/>
              </w:rPr>
              <w:t>Application field</w:t>
            </w:r>
          </w:p>
        </w:tc>
        <w:tc>
          <w:tcPr>
            <w:tcW w:type="dxa" w:w="6660"/>
            <w:shd w:fill="F5E9EC"/>
            <w:vAlign w:val="center"/>
            <w:tcMar>
              <w:top w:w="90" w:type="dxa"/>
              <w:start w:w="120" w:type="dxa"/>
              <w:bottom w:w="90" w:type="dxa"/>
              <w:end w:w="120" w:type="dxa"/>
            </w:tcMar>
          </w:tcPr>
          <w:p>
            <w:pPr>
              <w:spacing w:after="0"/>
            </w:pPr>
            <w:r>
              <w:rPr>
                <w:rFonts w:ascii="Calibri" w:hAnsi="Calibri"/>
                <w:b/>
                <w:i w:val="0"/>
                <w:color w:val="BB3E55"/>
                <w:sz w:val="21"/>
              </w:rPr>
              <w:t>Draft response</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Contact name</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Jiawei Shen and Daofeng Li</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Email address</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jiaweishen@wustl.edu; dli23@wustl.edu</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Institution</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Washington University in St. Louis</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Institution website</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https://wustl.edu/</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Dataset name</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WashU Repeat Browser genomic and epigenomic profiles</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Brief description</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The WashU Repeat Browser dataset provides processed genomic and epigenomic profiles for studying repetitive elements and transposable elements in the human hg38 and mouse mm10 genomes. Public sequencing data from resources including ENCODE, Roadmap Epigenomics and FANTOM are processed with the Repeat Browser pipeline. The pipeline handles uniquely and multi-mapped reads, summarizes enrichment by transposable-element subfamily, anchors signals to repeat consensus sequences and calculates locus-level values for individual genomic copies. The collection currently contains approximately 8,774 indexed entries across CAGE-seq, ATAC-seq, DNase-seq, histone and transcription-factor ChIP-seq, conservation and repeat-overlap resources. CSV metadata, indexed BigWig tracks and chunked Zarr stores support both programmatic analysis and interactive exploration in the WashU Repeat Browser. Researchers can compare regulatory activity at the subfamily, consensus-sequence and individual-locus levels without downloading the complete collection.</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Dataset size</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2.1 TB</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Annual growth</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The collection is updated irregularly as new supported public datasets and processed profiles become available.</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File formats</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CSV, BigWig, Zarr v2 and JSON/indexed supporting resources</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Dataset license</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Creative Commons Attribution 4.0 International (CC BY 4.0)</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Current institutional users</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The dataset is publicly accessible without registration, so a complete institution-by-institution user list is not available. It supports the broader genomics and transposable-element research community; for example, an external McGill/Canadian genomics group associated with the TEExplorer preprint has referenced WashU Repeat Browser as a useful visualization platform.</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How the data will be used</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Genome and epigenome analysis focused on repetitive elements: compare TE-subfamily activity across assays and biosamples, inspect consensus-sequence profiles, prioritize enriched genomic copies and integrate selected loci with other genome-browser tracks. The included notebook demonstrates anonymous S3 discovery, CSV loading, Zarr chunk decoding and a small publication-based analysis.</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What is new or novel</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The collection connects three normally fragmented analysis scales - TE subfamilies, repeat consensus sequences and individual genomic loci - across thousands of processed public datasets. It also retains separate uniquely mapped and combined unique-plus-multi-mapped representations and exposes locus records through analysis-ready Zarr arrays.</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Cloud optimization</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The collection is partitioned by assembly and assay. BigWig supports indexed genomic range requests, while Zarr v2 supports chunk-level access to subfamily, consensus and locus arrays. Consolidated Zarr metadata and assay-level CSV tables allow discovery without listing or downloading every object.</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Documentation URL</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https://rb-doc.readthedocs.io/en/latest/</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AWS tutorials available?</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Yes - a Get to Know a Dataset notebook and download guide are prepared.</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Promotion channels available?</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Yes</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Promotion plan</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Announce through the Ting Wang Laboratory and WashU Repeat Browser websites, GitHub repositories, institutional communications and relevant scientific-community channels; link the Registry entry from the application documentation.</w:t>
            </w:r>
          </w:p>
        </w:tc>
      </w:tr>
      <w:tr>
        <w:trPr>
          <w:cantSplit/>
        </w:trPr>
        <w:tc>
          <w:tcPr>
            <w:tcW w:type="dxa" w:w="2700"/>
            <w:vAlign w:val="center"/>
            <w:tcMar>
              <w:top w:w="90" w:type="dxa"/>
              <w:start w:w="120" w:type="dxa"/>
              <w:bottom w:w="90" w:type="dxa"/>
              <w:end w:w="120" w:type="dxa"/>
            </w:tcMar>
          </w:tcPr>
          <w:p>
            <w:pPr>
              <w:spacing w:after="0"/>
            </w:pPr>
            <w:r>
              <w:rPr>
                <w:rFonts w:ascii="Calibri" w:hAnsi="Calibri"/>
                <w:b/>
                <w:i w:val="0"/>
                <w:color w:val="262626"/>
                <w:sz w:val="20"/>
              </w:rPr>
              <w:t>EU citizenship</w:t>
            </w:r>
          </w:p>
        </w:tc>
        <w:tc>
          <w:tcPr>
            <w:tcW w:type="dxa" w:w="6660"/>
            <w:vAlign w:val="center"/>
            <w:tcMar>
              <w:top w:w="90" w:type="dxa"/>
              <w:start w:w="120" w:type="dxa"/>
              <w:bottom w:w="90" w:type="dxa"/>
              <w:end w:w="120" w:type="dxa"/>
            </w:tcMar>
          </w:tcPr>
          <w:p>
            <w:pPr>
              <w:spacing w:after="0"/>
            </w:pPr>
            <w:r>
              <w:rPr>
                <w:rFonts w:ascii="Calibri" w:hAnsi="Calibri"/>
                <w:b w:val="0"/>
                <w:i w:val="0"/>
                <w:color w:val="262626"/>
                <w:sz w:val="20"/>
              </w:rPr>
              <w:t>No</w:t>
            </w:r>
          </w:p>
        </w:tc>
      </w:tr>
    </w:tbl>
    <w:p>
      <w:pPr>
        <w:spacing w:before="160"/>
      </w:pPr>
      <w:r>
        <w:rPr>
          <w:rFonts w:ascii="Calibri" w:hAnsi="Calibri"/>
          <w:b/>
          <w:i w:val="0"/>
          <w:color w:val="5F5F5F"/>
          <w:sz w:val="18"/>
        </w:rPr>
        <w:t xml:space="preserve">Source form: </w:t>
      </w:r>
      <w:r>
        <w:rPr>
          <w:rFonts w:ascii="Calibri" w:hAnsi="Calibri"/>
          <w:b w:val="0"/>
          <w:i w:val="0"/>
          <w:color w:val="5F5F5F"/>
          <w:sz w:val="18"/>
        </w:rPr>
        <w:t>https://application.opendata.aws/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5F5F"/>
        <w:sz w:val="17"/>
      </w:rPr>
      <w:t xml:space="preserve">Ting Wang Laboratory - Washington University in St. Louis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F5F5F"/>
        <w:sz w:val="17"/>
      </w:rPr>
      <w:t>WashU Repeat Browser | AWS Open Data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BB3E5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BB3E5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BB3E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