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Synthetic Asset Evidence Memo</w:t>
      </w:r>
    </w:p>
    <w:p>
      <w:pPr>
        <w:spacing w:after="320"/>
      </w:pPr>
      <w:r>
        <w:rPr>
          <w:rFonts w:ascii="Calibri" w:hAnsi="Calibri"/>
          <w:b w:val="0"/>
          <w:color w:val="555555"/>
          <w:sz w:val="28"/>
        </w:rPr>
        <w:t>Deterministic fixture for narrative and table extraction</w:t>
      </w:r>
    </w:p>
    <w:p>
      <w:pPr>
        <w:pStyle w:val="Heading1"/>
      </w:pPr>
      <w:r>
        <w:t>Operations Summary</w:t>
      </w:r>
    </w:p>
    <w:p>
      <w:r>
        <w:t>The synthetic asset completed a 24-room renovation in 2020. This document contains invented figures and no real company, property, or person data.</w:t>
      </w:r>
    </w:p>
    <w:p>
      <w:pPr>
        <w:pStyle w:val="Heading2"/>
      </w:pPr>
      <w:r>
        <w:t>Selected Metrics</w:t>
      </w:r>
    </w:p>
    <w:p>
      <w:r>
        <w:t>Management used the following public-safe sample metrics during planning.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800"/>
        <w:gridCol w:w="1800"/>
        <w:gridCol w:w="2880"/>
      </w:tblGrid>
      <w:tr>
        <w:trPr/>
        <w:tc>
          <w:tcPr>
            <w:tcW w:type="dxa" w:w="2880"/>
            <w:vAlign w:val="center"/>
            <w:shd w:fill="F2F4F7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Metric</w:t>
            </w:r>
          </w:p>
        </w:tc>
        <w:tc>
          <w:tcPr>
            <w:tcW w:type="dxa" w:w="1800"/>
            <w:vAlign w:val="center"/>
            <w:shd w:fill="F2F4F7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2019</w:t>
            </w:r>
          </w:p>
        </w:tc>
        <w:tc>
          <w:tcPr>
            <w:tcW w:type="dxa" w:w="1800"/>
            <w:vAlign w:val="center"/>
            <w:shd w:fill="F2F4F7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2020</w:t>
            </w:r>
          </w:p>
        </w:tc>
        <w:tc>
          <w:tcPr>
            <w:tcW w:type="dxa" w:w="2880"/>
            <w:vAlign w:val="center"/>
            <w:shd w:fill="F2F4F7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Unit</w:t>
            </w:r>
          </w:p>
        </w:tc>
      </w:tr>
      <w:tr>
        <w:trPr/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Occupancy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78.0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72.5</w:t>
            </w:r>
          </w:p>
        </w:tc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%</w:t>
            </w:r>
          </w:p>
        </w:tc>
      </w:tr>
      <w:tr>
        <w:trPr/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ADR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118.00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123.45</w:t>
            </w:r>
          </w:p>
        </w:tc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USD</w:t>
            </w:r>
          </w:p>
        </w:tc>
      </w:tr>
      <w:tr>
        <w:trPr/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RevPAR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92.04</w:t>
            </w:r>
          </w:p>
        </w:tc>
        <w:tc>
          <w:tcPr>
            <w:tcW w:type="dxa" w:w="18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89.50</w:t>
            </w:r>
          </w:p>
        </w:tc>
        <w:tc>
          <w:tcPr>
            <w:tcW w:type="dxa" w:w="288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USD</w:t>
            </w:r>
          </w:p>
        </w:tc>
      </w:tr>
    </w:tbl>
    <w:p>
      <w:pPr>
        <w:pStyle w:val="Heading2"/>
      </w:pPr>
      <w:r>
        <w:t>Review Note</w:t>
      </w:r>
    </w:p>
    <w:p>
      <w:r>
        <w:t>All values are synthetic and exist solely to verify stable source lineage.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8"/>
      </w:rPr>
      <w:t>SYNTHETIC EVIDENCE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Asset Evidence Memo</dc:title>
  <dc:subject>Public-safe KC-10 ingestion fixture</dc:subject>
  <dc:creator>Knowledge Copilot Contributors</dc:creator>
  <cp:keywords/>
  <dc:description>generated by python-docx</dc:description>
  <cp:lastModifiedBy/>
  <cp:revision>1</cp:revision>
  <dcterms:created xsi:type="dcterms:W3CDTF">2026-08-14T12:00:00Z</dcterms:created>
  <dcterms:modified xsi:type="dcterms:W3CDTF">2026-08-14T12:00:00Z</dcterms:modified>
  <cp:category/>
  <cp:lastPrinted>2026-08-14T12:00:00Z</cp:lastPrinted>
</cp:coreProperties>
</file>