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面向毕业设计的学术文献 MCP 项目实施规格</w:t>
      </w:r>
    </w:p>
    <w:p>
      <w:pPr>
        <w:pStyle w:val="Subtitle"/>
      </w:pPr>
      <w:r>
        <w:t>版本 1.0　日期 2026 年 10 月 19 日</w:t>
      </w:r>
    </w:p>
    <w:p>
      <w:r>
        <w:t>本项目建设一个本地运行的学术文献 MCP 服务，让支持本地 MCP 的 Agent 能够在机构允许的范围内检索中国知网、获取摘要与题录、筛选和整理文献、处理授权全文，并生成能够回查原文的文献综述。服务面向经管、计算机、电气、电子信息及理科毕业设计，先交付单用户、单校试用版。</w:t>
      </w:r>
    </w:p>
    <w:p>
      <w:r>
        <w:t>首版认证固定为两种模式：校内网或学校 VPN，以及 CARSI。VPN 由用户事先连接，CARSI 的学校登录、扫码和多因素认证由用户在浏览器中完成。项目负责管理独立会话、识别机构、检查操作权限和恢复任务。研究判断由学科规则与证据支持，筛选阈值允许关闭、调整和复核。</w:t>
      </w:r>
    </w:p>
    <w:p>
      <w:r>
        <w:t>本文用于需求评审、任务拆分、开发联调和验收。文中的需求编号是后续任务、测试和缺陷记录的追踪标识；建议数值是试点起始设置，验收目标需用独立样本实测。学校档案、自动化许可和真实登录结果在试点阶段确认，不以模拟结果替代。</w:t>
      </w:r>
    </w:p>
    <w:p>
      <w:pPr>
        <w:pStyle w:val="Heading1"/>
      </w:pPr>
      <w:r>
        <w:t>1 产品范围与交付边界</w:t>
      </w:r>
    </w:p>
    <w:p>
      <w:pPr>
        <w:pStyle w:val="Heading2"/>
      </w:pPr>
      <w:r>
        <w:t>1.1 首版交付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3855"/>
        <w:gridCol w:w="4433"/>
      </w:tblGrid>
      <w:tr>
        <w:trPr>
          <w:cantSplit/>
          <w:tblHeader/>
        </w:trPr>
        <w:tc>
          <w:tcPr>
            <w:tcW w:type="dxa" w:w="1349"/>
            <w:vAlign w:val="center"/>
            <w:tcMar>
              <w:top w:w="85" w:type="dxa"/>
              <w:bottom w:w="85" w:type="dxa"/>
              <w:left w:w="105" w:type="dxa"/>
              <w:right w:w="105" w:type="dxa"/>
            </w:tcMar>
            <w:shd w:fill="243C55"/>
          </w:tcPr>
          <w:p>
            <w:pPr>
              <w:keepNext/>
              <w:spacing w:before="0" w:after="0" w:line="269" w:lineRule="auto"/>
              <w:jc w:val="center"/>
            </w:pPr>
            <w:r>
              <w:rPr>
                <w:rFonts w:ascii="Calibri" w:hAnsi="Calibri" w:eastAsia="微软雅黑"/>
                <w:b/>
                <w:color w:val="FFFFFF"/>
                <w:sz w:val="18"/>
              </w:rPr>
              <w:t>编号</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交付内容</w:t>
            </w:r>
          </w:p>
        </w:tc>
        <w:tc>
          <w:tcPr>
            <w:tcW w:type="dxa" w:w="443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完成标准</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ACC</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两种机构访问模式</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校内网或学校 VPN 与 CARSI 分别通过真实学校验证，并能识别失效与机构不符</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SEA</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知网检索与详情</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支持受控检索入口、分页、题录和摘要，保留检索式与来源</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DED</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去重与版本管理</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精确重复可合并，近似重复待核查，版本与文件可追溯</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QUA</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可选筛选</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年份、类型、名单、引用与学科方法规则可配置，排除理由可查看</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CIT</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参考文献</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确定性生成引文并导出 RIS、BibTeX、CSL JSON 和格式化文本</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FUL</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授权全文</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在许可允许时下载并校验文件，同时支持导入用户合法取得的文件</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PAR</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全文阅读</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文本 PDF 可检索，扫描件按需 OCR，保留页码与解析版本</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REV</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证据综述</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生成文献矩阵、综述草稿、引用清单和证据不足说明</w:t>
            </w:r>
          </w:p>
        </w:tc>
      </w:tr>
    </w:tbl>
    <w:p>
      <w:pPr>
        <w:spacing w:after="20" w:before="0" w:line="108" w:lineRule="auto"/>
      </w:pPr>
      <w:r>
        <w:rPr>
          <w:sz w:val="6"/>
        </w:rPr>
      </w:r>
    </w:p>
    <w:p>
      <w:r>
        <w:t>初期以 Windows 本地运行为主要验证环境，使用一个试点学校档案和一个受控 CNKI 检索入口。学科差异通过检索词表、评价模板和配置体现，模型提供方可替换。</w:t>
      </w:r>
    </w:p>
    <w:p>
      <w:pPr>
        <w:pStyle w:val="Heading2"/>
      </w:pPr>
      <w:r>
        <w:t>1.2 后续范围</w:t>
      </w:r>
    </w:p>
    <w:p>
      <w:r>
        <w:t>远程多人共享、跨校自动适配、学校账号托管、VPN 客户端管理、各校 WebVPN 专属改写、全量抓取、付费购买、CAJ 自动转换和 Word 动态引文字段生成，安排在首版之后。首版生成参考文献文本和题录；Word 动态引文可配合 Zotero 的现有插件工作流使用。</w:t>
      </w:r>
    </w:p>
    <w:p>
      <w:r>
        <w:t>WebVPN 不新增为第三种认证模式。如果用户从学校正常入口进入知网，且通用浏览器会话能正常操作，可以复用该会话；不兼容时返回明确状态，引导使用校内网、学校 VPN 客户端或 CARSI。</w:t>
      </w:r>
    </w:p>
    <w:p>
      <w:pPr>
        <w:pStyle w:val="Heading2"/>
      </w:pPr>
      <w:r>
        <w:t>1.3 接入能力的前置条件</w:t>
      </w:r>
    </w:p>
    <w:p>
      <w:r>
        <w:t>机构身份、资源订阅、自动化操作和内容处理分别核验。普通学校账号能够浏览或下载，不直接证明允许机器人检索、自动下载、本地建立全文索引或发送第三方模型。部分高校公开规则禁止自动下载，必须核验试点学校和数据商实际条款。[S1][S7][S8]</w:t>
      </w:r>
    </w:p>
    <w:p>
      <w:r>
        <w:t>每项能力只有在适用许可和实际访问均允许时启用。若在线接入尚未具备条件，可先开发导入后的处理链路，但此时在线知网检索与下载仍记为未验收。官方数据接口保留为适配器扩展点，首版不将尚未取得的接口凭据作为既有条件。[S9]</w:t>
      </w:r>
    </w:p>
    <w:p>
      <w:pPr>
        <w:pStyle w:val="Heading1"/>
      </w:pPr>
      <w:r>
        <w:t>2 用户操作与系统输出</w:t>
      </w:r>
    </w:p>
    <w:p>
      <w:pPr>
        <w:pStyle w:val="Heading2"/>
      </w:pPr>
      <w:r>
        <w:t>2.1 标准操作流程</w:t>
      </w:r>
    </w:p>
    <w:p>
      <w:pPr>
        <w:pStyle w:val="ListParagraph"/>
        <w:ind w:left="283" w:hanging="283"/>
      </w:pPr>
      <w:r>
        <w:t>1. 用户选择学校档案与认证模式，查看已确认的资源范围和可用操作。</w:t>
      </w:r>
    </w:p>
    <w:p>
      <w:pPr>
        <w:pStyle w:val="ListParagraph"/>
        <w:ind w:left="283" w:hanging="283"/>
      </w:pPr>
      <w:r>
        <w:t>2. 校内网或 VPN 用户先完成网络连接；CARSI 用户在专用浏览器完成学校认证。</w:t>
      </w:r>
    </w:p>
    <w:p>
      <w:pPr>
        <w:pStyle w:val="ListParagraph"/>
        <w:ind w:left="283" w:hanging="283"/>
      </w:pPr>
      <w:r>
        <w:t>3. 系统检查知网是否识别目标机构，显示检查结果和时间。</w:t>
      </w:r>
    </w:p>
    <w:p>
      <w:pPr>
        <w:pStyle w:val="ListParagraph"/>
        <w:ind w:left="283" w:hanging="283"/>
      </w:pPr>
      <w:r>
        <w:t>4. 用户向 Agent 提出研究问题，选择文献类型、时间窗和筛选强度。</w:t>
      </w:r>
    </w:p>
    <w:p>
      <w:pPr>
        <w:pStyle w:val="ListParagraph"/>
        <w:ind w:left="283" w:hanging="283"/>
      </w:pPr>
      <w:r>
        <w:t>5. Agent 生成检索计划，调用 MCP 检索、读取详情并写入本地文献库。</w:t>
      </w:r>
    </w:p>
    <w:p>
      <w:pPr>
        <w:pStyle w:val="ListParagraph"/>
        <w:ind w:left="283" w:hanging="283"/>
      </w:pPr>
      <w:r>
        <w:t>6. 系统执行去重和元数据筛选，返回保留、待核查与排除清单。</w:t>
      </w:r>
    </w:p>
    <w:p>
      <w:pPr>
        <w:pStyle w:val="ListParagraph"/>
        <w:ind w:left="283" w:hanging="283"/>
      </w:pPr>
      <w:r>
        <w:t>7. 对选定文献检查全文权限，下载或导入文件，解析并建立可定位的证据记录。</w:t>
      </w:r>
    </w:p>
    <w:p>
      <w:pPr>
        <w:pStyle w:val="ListParagraph"/>
        <w:ind w:left="283" w:hanging="283"/>
      </w:pPr>
      <w:r>
        <w:t>8. Agent 按学科模板整理文献矩阵，生成综述，系统检查引用身份和证据定位。</w:t>
      </w:r>
    </w:p>
    <w:p>
      <w:pPr>
        <w:pStyle w:val="ListParagraph"/>
        <w:ind w:left="283" w:hanging="283"/>
      </w:pPr>
      <w:r>
        <w:t>9. 用户复核重点论断，导出参考文献、文献矩阵、综述草稿和运行记录。</w:t>
      </w:r>
    </w:p>
    <w:p>
      <w:r>
        <w:t>示例任务为研究课题检索近五年文献，保留经典研究，选择若干文献阅读全文，再按研究方法和结论差异整理综述。候选数量和全文数量受用户预算、实际许可及来源可用性共同约束。</w:t>
      </w:r>
    </w:p>
    <w:p>
      <w:pPr>
        <w:pStyle w:val="Heading2"/>
      </w:pPr>
      <w:r>
        <w:t>2.2 每次研究任务的交付文件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文件或记录</w:t>
            </w:r>
          </w:p>
        </w:tc>
        <w:tc>
          <w:tcPr>
            <w:tcW w:type="dxa" w:w="693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应包含的内容</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检索记录</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检索式、入口、过滤条件、排序、获取时间、实际页数、截断原因</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筛选清单</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文献标识、阶段、结果、命中规则、缺失项、规则版本、人工覆盖记录</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文献矩阵</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问题、对象、方法、数据或实验、结果、限制、证据定位、阅读层级</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综述草稿</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按问题组织的综合分析、分歧与条件、引用和证据不足说明</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参考文献</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实际使用的发表版本、完整度提示、样式标识与版本</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运行记录</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输入、任务状态、组件版本、模型调用统计和可恢复进度</w:t>
            </w:r>
          </w:p>
        </w:tc>
      </w:tr>
    </w:tbl>
    <w:p>
      <w:pPr>
        <w:spacing w:after="20" w:before="0" w:line="108" w:lineRule="auto"/>
      </w:pPr>
      <w:r>
        <w:rPr>
          <w:sz w:val="6"/>
        </w:rPr>
      </w:r>
    </w:p>
    <w:p>
      <w:pPr>
        <w:pStyle w:val="Heading1"/>
      </w:pPr>
      <w:r>
        <w:t>3 技术架构与组件选择</w:t>
      </w:r>
    </w:p>
    <w:p>
      <w:pPr>
        <w:pStyle w:val="Heading2"/>
      </w:pPr>
      <w:r>
        <w:t>3.1 模块分工</w:t>
      </w:r>
    </w:p>
    <w:p>
      <w:r>
        <w:t>Agent 负责理解研究问题、拟定检索计划和撰写综合分析；MCP 负责可验证的数据获取、规则执行、记录持久化和证据读取。首版不在 MCP 内另建一套完整 Agent 调度系统，避免重复调用模型和难以追踪费用。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模块</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负责的工作</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主要依赖</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MCP 接口层</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参数校验、结构化返回、资源读取、任务查询</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官方 Python MCP SDK</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学校与会话模块</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两模式接入、机构识别、会话隔离、状态恢复</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Playwright 专用浏览器上下文</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来源适配器</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检索、详情、导出和获准下载</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CNKI 页面或已获准接口</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文献数据层</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来源字段、作品版本、文件、解析和证据</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SQLite 与本地文件目录</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去重与筛选模块</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精确匹配、候选关联、规则与学科评价</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可版本化规则和可选模型</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解析与证据模块</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版面、OCR、章节、页码和片段检索</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PDF 解析器与可选 MinerU</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引文与导出模块</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样式渲染、题录导出、Zotero 关联</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经验证的 CSL 渲染器</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任务模块</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排队、取消、部分完成、恢复与幂等</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SQLite 持久任务记录</w:t>
            </w:r>
          </w:p>
        </w:tc>
      </w:tr>
    </w:tbl>
    <w:p>
      <w:pPr>
        <w:spacing w:after="20" w:before="0" w:line="108" w:lineRule="auto"/>
      </w:pPr>
      <w:r>
        <w:rPr>
          <w:sz w:val="6"/>
        </w:rPr>
      </w:r>
    </w:p>
    <w:p>
      <w:r>
        <w:t>数据流为 Agent 调用 MCP，MCP 检查许可和会话后调用来源适配器，结果进入本地文献库；筛选后的选定文献进入全文获取与解析；Agent 通过证据接口读取内容，形成矩阵和综述。</w:t>
      </w:r>
    </w:p>
    <w:p>
      <w:pPr>
        <w:pStyle w:val="Heading2"/>
      </w:pPr>
      <w:r>
        <w:t>3.2 首版技术决定</w:t>
      </w:r>
    </w:p>
    <w:p>
      <w:r>
        <w:t>采用 Python 3.12 作为试点运行环境，以官方 MCP SDK 实现本地 stdio 服务。采用 Playwright 管理项目专用浏览器。普通结构数据使用 SQLite，文件使用内容哈希命名并记录数据库关联。首版以关键词检索和片段索引为基础，语义检索与重排作为可替换模块；模型、提示词和嵌入版本必须写入运行记录。[S10][S11]</w:t>
      </w:r>
    </w:p>
    <w:p>
      <w:r>
        <w:t>复杂扫描件、双栏、公式和表格按文档类型选择解析器；先抽样验证，再锁定版本。GROBID 可作为参考文献和结构提取的可选组件。Zotero 通过明确的 API 适配器关联，不能直接改写其数据库。[S14][S15][S18]</w:t>
      </w:r>
    </w:p>
    <w:p>
      <w:pPr>
        <w:pStyle w:val="Heading2"/>
      </w:pPr>
      <w:r>
        <w:t>3.3 相关开源项目取舍</w:t>
      </w:r>
    </w:p>
    <w:p>
      <w:r>
        <w:t>Stars 为 2026 年 10 月 19 日调研快照约数。功能说明来自仓库与部分源码核验，实际学校可用性仍需验证。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项目</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Stars 与许可</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采用方式</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Jasminum</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约 7.3k AGPL 3.0</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可选 Zotero 中文元数据和附件生态依赖，CAJ 附件关联不等于解析 [S12]</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zotero mcp</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约 5.5k MIT</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参考文献库查询、全文读取和工具边界 [S13]</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paper search mcp</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约 2.9k MIT</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参考多源论文模型和错误结构，仅保留授权来源 [S16]</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PaperQA2</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约 9.4k Apache 2.0</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参考检索片段与证据回答流程，作为原型比较基线 [S17]</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MinerU</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约 82k 附加许可</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复杂版面和 OCR 候选，按任务路由并履行当前许可 [S14]</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cnki skills</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998 许可待核实</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浏览器流程参考，复用代码前核验独立授权文件 [S19]</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SepineTam cnki mcp</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约 50 GPL 3.0</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学校档案与检索设计参考，仓库明确不提供全文下载 [S20]</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wuruiqi cnki mcp</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29 MIT</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流程原型参考，需补分页、文件校验和版本去重 [S21]</w:t>
            </w:r>
          </w:p>
        </w:tc>
      </w:tr>
    </w:tbl>
    <w:p>
      <w:pPr>
        <w:spacing w:after="20" w:before="0" w:line="108" w:lineRule="auto"/>
      </w:pPr>
      <w:r>
        <w:rPr>
          <w:sz w:val="6"/>
        </w:rPr>
      </w:r>
    </w:p>
    <w:p>
      <w:r>
        <w:t>固定使用已审查版本，维护依赖许可清单。MinerU 当前采用基于 Apache 2.0 的附加条款；Jasminum、Zotero 翻译器和 CSL 样式的许可分别核实，不能用一个项目的 MIT 许可概括全部组件。[S15][S24]</w:t>
      </w:r>
    </w:p>
    <w:p>
      <w:pPr>
        <w:pStyle w:val="Heading1"/>
      </w:pPr>
      <w:r>
        <w:t>4 学校档案与授权能力</w:t>
      </w:r>
    </w:p>
    <w:p>
      <w:pPr>
        <w:pStyle w:val="Heading2"/>
      </w:pPr>
      <w:r>
        <w:t>4.1 学校配置字段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字段</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说明</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校验规则</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institution_id</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本地稳定学校标识</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唯一且不随显示名称变化</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display_names</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中英文学校名和已确认别名</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不用模糊简称自动判定机构</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access_modes</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institution_network 与 carsi</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仅启用学校真实支持的模式</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entry_urls</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学校资源入口和知网入口</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HTTPS 优先，来源可追溯</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carsi_entry</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当前有效的官方校外访问入口</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启用 CARSI 前人工核验</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allowed_hosts</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已核验的知网与学校 IdP 主机</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精确主机或受控子域规则</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institution_rules</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页面机构标签及匹配规则</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保存依据和规则版本</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subscriptions</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子库、资源类型、年份范围</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已确认与未知范围分开</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policy_records</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各操作的许可和依据</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范围、有效期、核验人或角色</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verified_at</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档案最后核验时间</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页面或条款变化后重新核验</w:t>
            </w:r>
          </w:p>
        </w:tc>
      </w:tr>
    </w:tbl>
    <w:p>
      <w:pPr>
        <w:spacing w:after="20" w:before="0" w:line="108" w:lineRule="auto"/>
      </w:pPr>
      <w:r>
        <w:rPr>
          <w:sz w:val="6"/>
        </w:rPr>
      </w:r>
    </w:p>
    <w:p>
      <w:r>
        <w:t>学校尚未确定时，只建立配置结构和待核验清单，不填造机构信息。身份页面允许用户手动选择学校；不通过抓取学校登录表单或保存账号密码实现自动提交。</w:t>
      </w:r>
    </w:p>
    <w:p>
      <w:pPr>
        <w:pStyle w:val="Heading2"/>
      </w:pPr>
      <w:r>
        <w:t>4.2 操作许可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能力标识</w:t>
            </w:r>
          </w:p>
        </w:tc>
        <w:tc>
          <w:tcPr>
            <w:tcW w:type="dxa" w:w="693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操作范围</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automated_search</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自动提交检索、翻页和读取结果</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metadata_collect</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采集或导出题录与摘要</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fulltext_download</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自动获取全文文件</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local_parse_index</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在本地解析并建立全文索引</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external_model_use</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向指定外部模型服务发送允许内容</w:t>
            </w:r>
          </w:p>
        </w:tc>
      </w:tr>
    </w:tbl>
    <w:p>
      <w:pPr>
        <w:spacing w:after="20" w:before="0" w:line="108" w:lineRule="auto"/>
      </w:pPr>
      <w:r>
        <w:rPr>
          <w:sz w:val="6"/>
        </w:rPr>
      </w:r>
    </w:p>
    <w:p>
      <w:r>
        <w:t>每项取值为 allowed、denied 或 unknown，并记录许可来源、适用资源、适用主体、有效期、速率要求和核验时间。学校订阅、数据商许可、用户资源权限与项目配置共同决定有效操作范围。未知状态需完成核验后再启用对应操作。</w:t>
      </w:r>
    </w:p>
    <w:p>
      <w:r>
        <w:t>若自动下载被拒绝或未核实，系统提供正常网页定位和人工下载后导入。全文能下载但不允许外部模型处理时，证据读取也必须执行模型出站策略，不能仅靠文件保存在本地来推断可发送。</w:t>
      </w:r>
    </w:p>
    <w:p>
      <w:r>
        <w:t>运行配置登记客户端处理档案，说明接收方是本地模型、校内服务或指定外部服务，以及允许接收的内容类别。所有工具和资源输出中的受限摘要、正文、证据片段与含原文的解释统一经过出站检查；接收位置未知时只返回允许的元数据和状态。该约束保证 MCP 自身输出边界，不宣称控制 Agent 使用其他文件或网络工具的行为。</w:t>
      </w:r>
    </w:p>
    <w:p>
      <w:pPr>
        <w:pStyle w:val="Heading1"/>
      </w:pPr>
      <w:r>
        <w:t>5 校内网和学校 VPN 接入规格</w:t>
      </w:r>
    </w:p>
    <w:p>
      <w:pPr>
        <w:pStyle w:val="Heading2"/>
      </w:pPr>
      <w:r>
        <w:t>5.1 正常流程</w:t>
      </w:r>
    </w:p>
    <w:p>
      <w:pPr>
        <w:pStyle w:val="ListParagraph"/>
        <w:ind w:left="283" w:hanging="283"/>
      </w:pPr>
      <w:r>
        <w:t>1. 用户选择 institution_network 模式及学校档案。</w:t>
      </w:r>
    </w:p>
    <w:p>
      <w:pPr>
        <w:pStyle w:val="ListParagraph"/>
        <w:ind w:left="283" w:hanging="283"/>
      </w:pPr>
      <w:r>
        <w:t>2. 系统说明需要连接校园网，或由用户完成学校 VPN 客户端连接；项目不管理 VPN 软件。</w:t>
      </w:r>
    </w:p>
    <w:p>
      <w:pPr>
        <w:pStyle w:val="ListParagraph"/>
        <w:ind w:left="283" w:hanging="283"/>
      </w:pPr>
      <w:r>
        <w:t>3. 在项目专用浏览器中打开学校允许的资源入口或知网页面。</w:t>
      </w:r>
    </w:p>
    <w:p>
      <w:pPr>
        <w:pStyle w:val="ListParagraph"/>
        <w:ind w:left="283" w:hanging="283"/>
      </w:pPr>
      <w:r>
        <w:t>4. 如学校入口要求统一认证，用户亲自完成，系统保持等待。</w:t>
      </w:r>
    </w:p>
    <w:p>
      <w:pPr>
        <w:pStyle w:val="ListParagraph"/>
        <w:ind w:left="283" w:hanging="283"/>
      </w:pPr>
      <w:r>
        <w:t>5. 系统执行只读检查：页面可达、目标机构标签、登录提示及冲突信息。</w:t>
      </w:r>
    </w:p>
    <w:p>
      <w:pPr>
        <w:pStyle w:val="ListParagraph"/>
        <w:ind w:left="283" w:hanging="283"/>
      </w:pPr>
      <w:r>
        <w:t>6. 机构可靠匹配后，会话变为 ready，返回机构名称、检查时间和脱敏证据摘要。</w:t>
      </w:r>
    </w:p>
    <w:p>
      <w:pPr>
        <w:pStyle w:val="ListParagraph"/>
        <w:ind w:left="283" w:hanging="283"/>
      </w:pPr>
      <w:r>
        <w:t>7. 后续检索、详情和全文各自检查许可、会话有效性和资源状态。</w:t>
      </w:r>
    </w:p>
    <w:p>
      <w:r>
        <w:t>本机出现内网 IP、存在 VPN 进程或知网首页能打开，都不能作为机构认证成功的依据。默认不调用外部 IP 查询网站。网络条件变化时，对下一次受控操作重新检查；需要指定论文权限时使用真实资源检查，不为探测而下载无关全文。</w:t>
      </w:r>
    </w:p>
    <w:p>
      <w:pPr>
        <w:pStyle w:val="Heading2"/>
      </w:pPr>
      <w:r>
        <w:t>5.2 异常与兼容性</w:t>
      </w:r>
    </w:p>
    <w:p>
      <w:r>
        <w:t>普通外网能打开知网但未识别机构时，返回 AUTHENTICATION_REQUIRED 或 INSTITUTION_UNVERIFIED。网络不可达返回 NETWORK_NOT_READY。识别到其他机构返回 INSTITUTION_MISMATCH。用户已经通过学校 WebVPN 进入知网时，仅在通用浏览器操作可运行的条件下复用；代理域名或下载不兼容返回 PROXY_SESSION_INCOMPATIBLE。</w:t>
      </w:r>
    </w:p>
    <w:p>
      <w:r>
        <w:t>项目为两种模式保存独立会话上下文。未经用户选择，不切换学校、认证模式或账号；重新连接网络后可重新验证并恢复已保存的研究任务。</w:t>
      </w:r>
    </w:p>
    <w:p>
      <w:pPr>
        <w:pStyle w:val="Heading1"/>
      </w:pPr>
      <w:r>
        <w:t>6 CARSI 接入规格</w:t>
      </w:r>
    </w:p>
    <w:p>
      <w:pPr>
        <w:pStyle w:val="Heading2"/>
      </w:pPr>
      <w:r>
        <w:t>6.1 正常流程</w:t>
      </w:r>
    </w:p>
    <w:p>
      <w:pPr>
        <w:pStyle w:val="ListParagraph"/>
        <w:ind w:left="283" w:hanging="283"/>
      </w:pPr>
      <w:r>
        <w:t>1. 用户选择 carsi 模式和学校档案；系统检查该学校是否已确认开通知网 CARSI。</w:t>
      </w:r>
    </w:p>
    <w:p>
      <w:pPr>
        <w:pStyle w:val="ListParagraph"/>
        <w:ind w:left="283" w:hanging="283"/>
      </w:pPr>
      <w:r>
        <w:t>2. 打开经过核验的知网官方校外访问入口，用户选择目标学校。</w:t>
      </w:r>
    </w:p>
    <w:p>
      <w:pPr>
        <w:pStyle w:val="ListParagraph"/>
        <w:ind w:left="283" w:hanging="283"/>
      </w:pPr>
      <w:r>
        <w:t>3. 浏览器跳转至学校身份提供方，用户完成密码、扫码、MFA、属性释放和条款确认。</w:t>
      </w:r>
    </w:p>
    <w:p>
      <w:pPr>
        <w:pStyle w:val="ListParagraph"/>
        <w:ind w:left="283" w:hanging="283"/>
      </w:pPr>
      <w:r>
        <w:t>4. 系统等待返回知网，不读取密码、验证码或完整身份断言。</w:t>
      </w:r>
    </w:p>
    <w:p>
      <w:pPr>
        <w:pStyle w:val="ListParagraph"/>
        <w:ind w:left="283" w:hanging="283"/>
      </w:pPr>
      <w:r>
        <w:t>5. 返回后检查目标机构标签、登录状态和冲突提示。</w:t>
      </w:r>
    </w:p>
    <w:p>
      <w:pPr>
        <w:pStyle w:val="ListParagraph"/>
        <w:ind w:left="283" w:hanging="283"/>
      </w:pPr>
      <w:r>
        <w:t>6. 检查通过后变为 ready，并保存脱敏检查记录。</w:t>
      </w:r>
    </w:p>
    <w:p>
      <w:r>
        <w:t>CARSI 入口地址与学校跳转主机随档案配置。学校不在可选范围、未开通对应资源或用户身份不符合要求时，返回明确原因；由用户决定是否改用另一模式。</w:t>
      </w:r>
    </w:p>
    <w:p>
      <w:pPr>
        <w:pStyle w:val="Heading2"/>
      </w:pPr>
      <w:r>
        <w:t>6.2 登录页处理</w:t>
      </w:r>
    </w:p>
    <w:p>
      <w:r>
        <w:t>登录页由用户操作。Agent 只接收“正在等待用户完成认证”等状态，不获得完整登录页 DOM、未脱敏截图、cookie、Authorization 或 SAML 断言。跳转主机超出学校已核验列表时暂停，核验目标后再恢复；不能简单允许全部 edu.cn 或任意重定向地址。</w:t>
      </w:r>
    </w:p>
    <w:p>
      <w:r>
        <w:t>验证码、扫码和 MFA 属于用户交互状态，不实现识别、代答或连续自动提交。等待用户期间不消耗轮询式模型调用；用户完成后主动调用会话验证接口。</w:t>
      </w:r>
    </w:p>
    <w:p>
      <w:pPr>
        <w:pStyle w:val="Heading2"/>
      </w:pPr>
      <w:r>
        <w:t>6.3 会话复用和退出</w:t>
      </w:r>
    </w:p>
    <w:p>
      <w:r>
        <w:t>允许复用项目自行创建且用户已登录的专用上下文，不读取日常浏览器的历史记录或任意个人配置。默认短期会话；启用持久保存时，将可序列化会话状态使用操作系统保护的存储加密，并限制目录权限。若持久浏览器目录中仍含未受保护的敏感状态，首版禁用该持久方式。</w:t>
      </w:r>
    </w:p>
    <w:p>
      <w:r>
        <w:t>退出清除项目持有的本地会话和临时凭据；需要时打开正常退出入口。退出结果应准确说明已清除的范围，不宣称退出学校所有统一认证会话。</w:t>
      </w:r>
    </w:p>
    <w:p>
      <w:pPr>
        <w:pStyle w:val="Heading1"/>
      </w:pPr>
      <w:r>
        <w:t>7 会话状态和错误恢复</w:t>
      </w:r>
    </w:p>
    <w:p>
      <w:pPr>
        <w:pStyle w:val="Heading2"/>
      </w:pPr>
      <w:r>
        <w:t>7.1 三类状态独立保存</w:t>
      </w:r>
    </w:p>
    <w:p>
      <w:r>
        <w:t>身份会话、资源访问和操作许可独立建模。会话 ready 仅表示目标机构已识别且当前可用；单篇资源仍可能未订购，自动操作仍可能未获许可。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会话状态</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含义</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下一步</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not_started</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尚未建立会话</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用户选择模式并启动</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waiting_for_user</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等待网络或用户交互</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用户完成后提交验证</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verifying</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正在检查机构状态</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返回 ready 或明确原因</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ready</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目标机构已可靠识别</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按许可执行具体操作</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paused</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机构不符、代理不兼容或访问频繁</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解决原因后重新检查</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expired</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原可用会话已失效</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重新认证并恢复任务</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closed</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本地会话已关闭或清除</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新建会话</w:t>
            </w:r>
          </w:p>
        </w:tc>
      </w:tr>
    </w:tbl>
    <w:p>
      <w:pPr>
        <w:spacing w:after="20" w:before="0" w:line="108" w:lineRule="auto"/>
      </w:pPr>
      <w:r>
        <w:rPr>
          <w:sz w:val="6"/>
        </w:rPr>
      </w:r>
    </w:p>
    <w:p>
      <w:r>
        <w:t>主要转换为 not_started 到 waiting_for_user，到 verifying，再到 ready。需要交互时回到 waiting_for_user；运行中失效进入 expired；用户处理后重新验证。任意状态可由用户关闭。暂停和失效时停止新增网络操作，保留已完成记录。</w:t>
      </w:r>
    </w:p>
    <w:p>
      <w:r>
        <w:t>单篇资源状态使用 unknown、available、not_subscribed、unavailable、manual_required。available 仅表示当前访问证据支持获取，还需检查自动获取和后续处理许可。错误码和状态分别返回，避免所有失败都显示为登录失败。</w:t>
      </w:r>
    </w:p>
    <w:p>
      <w:pPr>
        <w:pStyle w:val="Heading2"/>
      </w:pPr>
      <w:r>
        <w:t>7.2 错误码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66"/>
        <w:gridCol w:w="2602"/>
        <w:gridCol w:w="3470"/>
      </w:tblGrid>
      <w:tr>
        <w:trPr>
          <w:cantSplit/>
          <w:tblHeader/>
        </w:trPr>
        <w:tc>
          <w:tcPr>
            <w:tcW w:type="dxa" w:w="3566"/>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错误码</w:t>
            </w:r>
          </w:p>
        </w:tc>
        <w:tc>
          <w:tcPr>
            <w:tcW w:type="dxa" w:w="2602"/>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判断含义</w:t>
            </w:r>
          </w:p>
        </w:tc>
        <w:tc>
          <w:tcPr>
            <w:tcW w:type="dxa" w:w="3470"/>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恢复动作</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NETWORK_NOT_READY</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网络或入口不可达</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用户检查校园网或学校 VPN</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BROWSER_SESSION_UNAVAILABLE</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专用浏览器已关闭或丢失</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重建项目会话</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PROXY_SESSION_INCOMPATIBLE</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当前代理无法执行通用操作</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用户选择受支持路径</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AUTHENTICATION_REQUIRED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尚无机构身份</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用户完成机构登录</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USER_INTERACTION_REQUIRED</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需要扫码 MFA 或验证码</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暂停等待用户</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INSTITUTION_UNVERIFIED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证据不足以确认学校</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核验入口和识别规则</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INSTITUTION_MISMATCH</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实际机构与学校档案不符</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重新选择或认证</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SESSION_EXPIRED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原会话已失效</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原模式重新认证</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RESOURCE_NOT_SUBSCRIBED</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该资源不在可访问范围</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保留题录并提示正常获取渠道</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ACCESS_UNDETERMINED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无法判断资源权限</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保持 unknown</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POLICY_UNVERIFIED</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对应操作许可未知</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核验或人工处理</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OPERATION_NOT_PERMITTED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对应操作已明确被禁止</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停止该操作</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PROVIDER_RATE_LIMITED</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来源提示访问频繁</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遵守提示暂停并保留进度</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PROVIDER_UNAVAILABLE</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来源临时故障或维护</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有限重试或稍后恢复</w:t>
            </w:r>
          </w:p>
        </w:tc>
      </w:tr>
      <w:tr>
        <w:trPr>
          <w:cantSplit/>
        </w:trPr>
        <w:tc>
          <w:tcPr>
            <w:tcW w:type="dxa" w:w="3566"/>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SOURCE_LAYOUT_CHANGED</w:t>
            </w:r>
          </w:p>
        </w:tc>
        <w:tc>
          <w:tcPr>
            <w:tcW w:type="dxa" w:w="260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页面结构与预期不符</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停止采集并更新适配器</w:t>
            </w:r>
          </w:p>
        </w:tc>
      </w:tr>
      <w:tr>
        <w:trPr>
          <w:cantSplit/>
        </w:trPr>
        <w:tc>
          <w:tcPr>
            <w:tcW w:type="dxa" w:w="3566"/>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FILE_VALIDATION_FAILED</w:t>
            </w:r>
          </w:p>
        </w:tc>
        <w:tc>
          <w:tcPr>
            <w:tcW w:type="dxa" w:w="260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获取文件格式或完整性不符</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不标为成功并保留安全诊断</w:t>
            </w:r>
          </w:p>
        </w:tc>
      </w:tr>
    </w:tbl>
    <w:p>
      <w:pPr>
        <w:spacing w:after="20" w:before="0" w:line="108" w:lineRule="auto"/>
      </w:pPr>
      <w:r>
        <w:rPr>
          <w:sz w:val="6"/>
        </w:rPr>
      </w:r>
    </w:p>
    <w:p>
      <w:r>
        <w:t>错误结果统一包含 code、message、user_action、retryable、requires_user_action、job_id 和 request_id。retryable 表示具备恢复可能，不等于系统可以自动重试。普通临时网络故障最多自动重试两次并退避；登录、验证码、条款限制、频繁访问提示不走自动重试。</w:t>
      </w:r>
    </w:p>
    <w:p>
      <w:pPr>
        <w:pStyle w:val="Heading1"/>
      </w:pPr>
      <w:r>
        <w:t>8 检索和题录规格</w:t>
      </w:r>
    </w:p>
    <w:p>
      <w:pPr>
        <w:pStyle w:val="Heading2"/>
      </w:pPr>
      <w:r>
        <w:t>8.1 检索输入</w:t>
      </w:r>
    </w:p>
    <w:p>
      <w:r>
        <w:t>支持主题、题名、关键词、作者、来源、年份、文献类型和排序。高层检索输入先转为受控表达式，再映射到实际入口；专业检索式提供可选入口并验证长度、字段及语法。不开放任意脚本、任意请求或浏览器执行参数。</w:t>
      </w:r>
    </w:p>
    <w:p>
      <w:r>
        <w:t>Agent 可提出中文同义词、英文对应词及学科词扩展。系统保存用户原始问题、最终检索式与每次修改。相关性、最新和被引排序可按预算取并集；运行记录必须标明只取得前若干页时的覆盖范围，不将其称为全库穷尽检索。</w:t>
      </w:r>
    </w:p>
    <w:p>
      <w:pPr>
        <w:pStyle w:val="Heading2"/>
      </w:pPr>
      <w:r>
        <w:t>8.2 分页与快照</w:t>
      </w:r>
    </w:p>
    <w:p>
      <w:r>
        <w:t>每次查询绑定 query_id、学校档案、来源入口、查询条件和获取时间。next_cursor 使用服务管理的游标，不向 Agent 暴露含敏感参数的原始页面地址。停止条件包括用户数量预算、来源末页、许可预算、超时、会话变化或页面异常。记录实际读取页数和停止原因。</w:t>
      </w:r>
    </w:p>
    <w:p>
      <w:r>
        <w:t>检索结果变化时，以获取时间和来源记录解释差异，不承诺不同日期返回完全相同的排序。可重放指相同输入和组件版本能复现处理规则；来源数据变化另行记录。</w:t>
      </w:r>
    </w:p>
    <w:p>
      <w:pPr>
        <w:pStyle w:val="Heading2"/>
      </w:pPr>
      <w:r>
        <w:t>8.3 题录字段与补充来源</w:t>
      </w:r>
    </w:p>
    <w:p>
      <w:r>
        <w:t>核心字段为来源标识、题名、作者、年份、文献类型、来源刊会或学校、详情地址；摘要、关键词、DOI、卷期页、机构、基金、引用量和名单标签为可缺失字段。每个字段保存来源、获取时间和核验状态，缺失值使用显式状态，不由模型补造。</w:t>
      </w:r>
    </w:p>
    <w:p>
      <w:r>
        <w:t>外部元数据补充作为 P1 能力。OpenAlex 和 Crossref 用于匹配标识、元数据和引用关系，Crossref 与 Retraction Watch 可提供更新和撤稿线索；中文无 DOI 文献的覆盖率需实测。没有命中撤稿记录只表示尚未发现，不能当作未撤稿证明。摘要和全文许可与元数据许可分别处理。[S22][S23]</w:t>
      </w:r>
    </w:p>
    <w:p>
      <w:pPr>
        <w:pStyle w:val="Heading1"/>
      </w:pPr>
      <w:r>
        <w:t>9 数据模型和版本去重</w:t>
      </w:r>
    </w:p>
    <w:p>
      <w:pPr>
        <w:pStyle w:val="Heading2"/>
      </w:pPr>
      <w:r>
        <w:t>9.1 实体关系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3855"/>
        <w:gridCol w:w="3470"/>
      </w:tblGrid>
      <w:tr>
        <w:trPr>
          <w:cantSplit/>
          <w:tblHeader/>
        </w:trPr>
        <w:tc>
          <w:tcPr>
            <w:tcW w:type="dxa" w:w="231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实体</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关键字段</w:t>
            </w:r>
          </w:p>
        </w:tc>
        <w:tc>
          <w:tcPr>
            <w:tcW w:type="dxa" w:w="3470"/>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关系</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InstitutionProfile</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id 名称 入口 规则版本</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关联会话和许可</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AccessSession</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模式 机构状态 上下文引用</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绑定本地使用者与学校</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ClientProcessingProfile</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接收位置 服务方 内容类别</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控制 MCP 内容输出</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PolicyRecord</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操作 范围 三态 依据 有效期</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控制具体操作</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ResearchProject</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问题 配置 预算</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关联查询 文献和综述</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SearchRun</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检索式 游标 时间 截断原因</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保存来源观测</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ResearchWork</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研究集合标识</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包含一个或多个发表版本</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PublicationVersion</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DOI CNKI 标识 题录 版本类型</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绑定实际引用版本</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SourceObservation</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字段值 来源 时间 核验状态</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保留冲突和历史观测</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DigitalAsset</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哈希 格式 路径 取得依据</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关联发表版本且不可变</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ParseArtifact</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文件 解析器 版本 质量状态</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同一文件可多次解析</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EvidenceSpan</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页序号 印刷页码 章节 坐标 文本</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绑定具体解析结果</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ScreeningDecision</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阶段 规则 结果 理由 覆盖率</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保留人工覆盖和历史</w:t>
            </w:r>
          </w:p>
        </w:tc>
      </w:tr>
      <w:tr>
        <w:trPr>
          <w:cantSplit/>
        </w:trPr>
        <w:tc>
          <w:tcPr>
            <w:tcW w:type="dxa" w:w="231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ClaimAndReview</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论断 内容 阅读层级 版本</w:t>
            </w:r>
          </w:p>
        </w:tc>
        <w:tc>
          <w:tcPr>
            <w:tcW w:type="dxa" w:w="3470"/>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通过关联表引用证据</w:t>
            </w:r>
          </w:p>
        </w:tc>
      </w:tr>
      <w:tr>
        <w:trPr>
          <w:cantSplit/>
        </w:trPr>
        <w:tc>
          <w:tcPr>
            <w:tcW w:type="dxa" w:w="231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Job</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类型 状态 幂等键 进度</w:t>
            </w:r>
          </w:p>
        </w:tc>
        <w:tc>
          <w:tcPr>
            <w:tcW w:type="dxa" w:w="3470"/>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关联全部长任务产物</w:t>
            </w:r>
          </w:p>
        </w:tc>
      </w:tr>
    </w:tbl>
    <w:p>
      <w:pPr>
        <w:spacing w:after="20" w:before="0" w:line="108" w:lineRule="auto"/>
      </w:pPr>
      <w:r>
        <w:rPr>
          <w:sz w:val="6"/>
        </w:rPr>
      </w:r>
    </w:p>
    <w:p>
      <w:r>
        <w:t>一个 ResearchWork 可包含多个 PublicationVersion；一个版本可有多个 DigitalAsset；一个文件可有多个 ParseArtifact；证据固定引用具体解析产物。更换文件、解析器或正式版本时生成新记录，已有证据保持原绑定。公开 DOI、内部标识和文件哈希使用不同命名空间。</w:t>
      </w:r>
    </w:p>
    <w:p>
      <w:pPr>
        <w:pStyle w:val="Heading2"/>
      </w:pPr>
      <w:r>
        <w:t>9.2 去重决策</w:t>
      </w:r>
    </w:p>
    <w:p>
      <w:r>
        <w:t>同一来源稳定标识且无冲突的重复观测可合并。规范化 DOI 相同且书目信息一致时可自动匹配到同一发表版本。无 DOI 时，组合使用题名、作者、年份、刊会、卷页；近似匹配仅生成待核查候选。</w:t>
      </w:r>
    </w:p>
    <w:p>
      <w:r>
        <w:t>DOI 或作者存在冲突时保留记录。预印本、录用稿与正式版可关联至研究集合，但保留版本差异。会议论文和扩展期刊论文使用 extends 关系，不默认删除一个；更正和撤稿通知单独保存并关联。文件哈希一致可避免重复保存，但同 DOI 下发生文件更新时保留新旧资产。</w:t>
      </w:r>
    </w:p>
    <w:p>
      <w:r>
        <w:t>合并操作必须记录前后映射、来源字段和执行依据，支持回滚。筛选、引用和证据绑定发表版本；合并研究集合不能悄悄改变引用页码。</w:t>
      </w:r>
    </w:p>
    <w:p>
      <w:pPr>
        <w:pStyle w:val="Heading1"/>
      </w:pPr>
      <w:r>
        <w:t>10 可选筛选与学科评价</w:t>
      </w:r>
    </w:p>
    <w:p>
      <w:pPr>
        <w:pStyle w:val="Heading2"/>
      </w:pPr>
      <w:r>
        <w:t>10.1 两阶段输出</w:t>
      </w:r>
    </w:p>
    <w:p>
      <w:r>
        <w:t>元数据阶段判断相关性、时间、类型、名单、引用和字段完整度。全文阶段判断方法与研究问题是否匹配，以及数据、实验或证明对结论的支持。输出相关性、方法评价、影响力和证据完整度四个独立维度，给出推荐阅读、条件纳入、待核查或按规则排除。</w:t>
      </w:r>
    </w:p>
    <w:p>
      <w:r>
        <w:t>保留被排除记录及理由，允许用户撤销或覆盖。学术诚信风险以可核实线索呈现；系统不承诺自动判定论文真伪。刊会目录和引用量属于辅助信号，不能替代单篇内容判断。[S25]</w:t>
      </w:r>
    </w:p>
    <w:p>
      <w:pPr>
        <w:pStyle w:val="Heading2"/>
      </w:pPr>
      <w:r>
        <w:t>10.2 起始配置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规则</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起始设置</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缺失和例外</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总开关</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可完全关闭质量筛选</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仍执行去重和来源标记</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时间窗</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默认不限 提供近五年预设</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经典文献可人工保留</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文献类型</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用户选择</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综述 理论和学位论文分别评价</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刊会名单</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默认软排序</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严格模式可强制名单并记录版次</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最低引用量</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默认 0</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新论文和未知引用不直接排除</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相关性</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首版采用解释标签和排序</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数值阈值用标注集校准</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撤稿状态</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已确认撤稿默认不作论据</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未命中记为尚未发现</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全文评价</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每适用维度 0 1 2 三级</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未知影响覆盖率 不适用不计分</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人工覆盖</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始终可用</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保存原结果和覆盖理由</w:t>
            </w:r>
          </w:p>
        </w:tc>
      </w:tr>
    </w:tbl>
    <w:p>
      <w:pPr>
        <w:spacing w:after="20" w:before="0" w:line="108" w:lineRule="auto"/>
      </w:pPr>
      <w:r>
        <w:rPr>
          <w:sz w:val="6"/>
        </w:rPr>
      </w:r>
    </w:p>
    <w:p>
      <w:r>
        <w:t>探索模式侧重召回；平衡模式执行用户明确的范围约束；严格模式可要求名单和全文方法门槛。原始引用量按数据来源和时间分别记录，不相加；跨学科阈值分别设置。有可靠完整比较群体时才使用同领域同年份百分位，不能用少量检索结果冒充全领域分布。</w:t>
      </w:r>
    </w:p>
    <w:p>
      <w:pPr>
        <w:pStyle w:val="Heading2"/>
      </w:pPr>
      <w:r>
        <w:t>10.3 方法评价和覆盖率</w:t>
      </w:r>
    </w:p>
    <w:p>
      <w:r>
        <w:t>每个适用维度取 0 为缺乏支持，1 为部分支持，2 为证据充分。未知项不当作 0；不适用项从分母移除。证据覆盖率为已完成且有依据的适用项数除以全部适用项数。必须同时显示分项结果、证据定位、未知项和覆盖率。</w:t>
      </w:r>
    </w:p>
    <w:p>
      <w:r>
        <w:t>严格模式的可选起始门槛为已评价适用项平均分不低于 1.5、全部适用核心项均已完成有证据的评价且无 0、证据覆盖率不低于 80%。任一适用核心项未知则进入待核查；核心项判为不适用需给出依据。这些只是试点规则建议，不能解释为学界通用标准或质量概率。先使用标注集调节，再使用独立验收集测量误杀与遗漏。</w:t>
      </w:r>
    </w:p>
    <w:p>
      <w:pPr>
        <w:pStyle w:val="Heading2"/>
      </w:pPr>
      <w:r>
        <w:t>10.4 学科模板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3373"/>
        <w:gridCol w:w="3855"/>
      </w:tblGrid>
      <w:tr>
        <w:trPr>
          <w:cantSplit/>
          <w:tblHeader/>
        </w:trPr>
        <w:tc>
          <w:tcPr>
            <w:tcW w:type="dxa" w:w="240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模板</w:t>
            </w:r>
          </w:p>
        </w:tc>
        <w:tc>
          <w:tcPr>
            <w:tcW w:type="dxa" w:w="337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重点评价证据</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适用限制</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经管实证</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数据来源 样本选择 变量 识别假设 内生性 稳健性</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因果结论需要相应识别依据</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计算机算法与系统</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数据划分 泄漏 基线 消融 随机性 算力 复现条件</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按实际研究类型选择适用项</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电气和电子信息</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仿真与实测 工况 参数 测量误差 基准比较</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仿真结果不能表述为工程实测</w:t>
            </w:r>
          </w:p>
        </w:tc>
      </w:tr>
      <w:tr>
        <w:trPr>
          <w:cantSplit/>
        </w:trPr>
        <w:tc>
          <w:tcPr>
            <w:tcW w:type="dxa" w:w="240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实验理科</w:t>
            </w:r>
          </w:p>
        </w:tc>
        <w:tc>
          <w:tcPr>
            <w:tcW w:type="dxa" w:w="337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对照 校准 重复 不确定度 数据支持</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样本量门槛按研究设计设置</w:t>
            </w:r>
          </w:p>
        </w:tc>
      </w:tr>
      <w:tr>
        <w:trPr>
          <w:cantSplit/>
        </w:trPr>
        <w:tc>
          <w:tcPr>
            <w:tcW w:type="dxa" w:w="240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理论与数学</w:t>
            </w:r>
          </w:p>
        </w:tc>
        <w:tc>
          <w:tcPr>
            <w:tcW w:type="dxa" w:w="337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定义 假设 证明 引理 适用条件</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不强制实验 数据集或代码</w:t>
            </w:r>
          </w:p>
        </w:tc>
      </w:tr>
    </w:tbl>
    <w:p>
      <w:pPr>
        <w:spacing w:after="20" w:before="0" w:line="108" w:lineRule="auto"/>
      </w:pPr>
      <w:r>
        <w:rPr>
          <w:sz w:val="6"/>
        </w:rPr>
      </w:r>
    </w:p>
    <w:p>
      <w:r>
        <w:t>名单记录体系、版次、年份和来源。CSSCI、北大核心、EI、SCIE、CCF、CORE、JCR 与中科院分区分开管理；商业名单由用户或机构在许可范围内提供。没有开源代码、短篇幅或低引用不能作为跨学科统一淘汰理由。</w:t>
      </w:r>
    </w:p>
    <w:p>
      <w:pPr>
        <w:pStyle w:val="Heading1"/>
      </w:pPr>
      <w:r>
        <w:t>11 全文处理与证据综述</w:t>
      </w:r>
    </w:p>
    <w:p>
      <w:pPr>
        <w:pStyle w:val="Heading2"/>
      </w:pPr>
      <w:r>
        <w:t>11.1 全文获取</w:t>
      </w:r>
    </w:p>
    <w:p>
      <w:r>
        <w:t>下载请求显式传入 session_id，并核对其学校与项目绑定一致，禁止自动选用最近登录会话。下载前依次核验操作许可、会话状态和单篇资源访问。使用同一授权浏览器上下文完成正常下载，避免将一次性链接和 cookie 暴露给 Agent。保存取得来源、时间、权限依据和对应发表版本。</w:t>
      </w:r>
    </w:p>
    <w:p>
      <w:r>
        <w:t>下载成功必须满足文件已落盘、大小和文件签名合理、可被格式检查器打开且文件哈希已记录。将登录 HTML、错误页或不完整文件当作失败；不能以点击按钮或出现下载链接为成功。未订购资源保留题录，并可提示学校正常文献传递渠道。</w:t>
      </w:r>
    </w:p>
    <w:p>
      <w:r>
        <w:t>PDF 为首版主要阅读格式。CAJ 保留文件及状态，允许用户提供合法 PDF 或人工笔记；不把 CAJ 转换作为首版闭环的必需依赖。HTML 全文如有合法稳定接口可后续扩展，保留章节锚点而不伪造页码。</w:t>
      </w:r>
    </w:p>
    <w:p>
      <w:pPr>
        <w:pStyle w:val="Heading2"/>
      </w:pPr>
      <w:r>
        <w:t>11.2 解析与片段检索</w:t>
      </w:r>
    </w:p>
    <w:p>
      <w:r>
        <w:t>先检查文本层与阅读顺序。文本 PDF 采用轻量解析，扫描或复杂版面按需路由 OCR 或 MinerU。每次解析保存解析器名称、版本、参数和质量标记。表格数值保留单位、表头和页码，公式无法可靠解析时返回图像位置或人工复核状态。</w:t>
      </w:r>
    </w:p>
    <w:p>
      <w:r>
        <w:t>页定位同时保存从 1 开始的 PDF 页序号与印刷页码，印刷页码缺失时为空。保留章节、块标识和必要坐标。片段检索支持关键词和可选多语种语义检索；返回证据标识、正文片段、上下文和定位，不默认把整篇论文塞入模型上下文。</w:t>
      </w:r>
    </w:p>
    <w:p>
      <w:pPr>
        <w:pStyle w:val="Heading2"/>
      </w:pPr>
      <w:r>
        <w:t>11.3 综述生成与检查</w:t>
      </w:r>
    </w:p>
    <w:p>
      <w:r>
        <w:t>先建立文献矩阵，再按研究问题生成正文。每项研究事实关联发表版本、资产哈希、解析版本和证据片段。方法评价引用全文依据；数字结论返回原段落及表格上下文；因果判断保留研究设计条件。</w:t>
      </w:r>
    </w:p>
    <w:p>
      <w:r>
        <w:t>每条记录标记 metadata_only、abstract_only 或 fulltext。只有摘要时允许主题归类和摘要级比较，方法细节及强度标明未核验。跨论文综合判断显式说明综合依据；冲突结果、研究条件和局限保留在综述中。</w:t>
      </w:r>
    </w:p>
    <w:p>
      <w:r>
        <w:t>检查分为身份检查和支持检查。身份检查确保引用标识确实存在且对应实际版本；支持检查核对证据是否支持论断。确定性检查、模型辅助检查和人工抽检分别记录。证据不足时输出待核查内容，不能补造页码、作者、DOI 或原文。</w:t>
      </w:r>
    </w:p>
    <w:p>
      <w:r>
        <w:t>参考文献默认支持 GB/T 7714—2025，保留学校指定的 GB/T 7714—2015。记录具体 CSL 样式标识、版本和获取日期，通过黄金样例确认实现，不能仅修改样式名称。[S26][S24]</w:t>
      </w:r>
    </w:p>
    <w:p>
      <w:pPr>
        <w:pStyle w:val="Heading1"/>
      </w:pPr>
      <w:r>
        <w:t>12 MCP 接口契约</w:t>
      </w:r>
    </w:p>
    <w:p>
      <w:pPr>
        <w:pStyle w:val="Heading2"/>
      </w:pPr>
      <w:r>
        <w:t>12.1 通用返回和资源</w:t>
      </w:r>
    </w:p>
    <w:p>
      <w:r>
        <w:t>工具返回结构化对象和简短摘要，统一字段为 status、data、warnings、provenance、request_id；分页带 next_cursor，长任务带 job_id，失败带第 7 节错误结构。秘密、浏览器调试地址和含认证参数的链接不进入返回。</w:t>
      </w:r>
    </w:p>
    <w:p>
      <w:r>
        <w:t>status 使用 succeeded、partially_succeeded、waiting_for_user、failed 或 cancelled。数据记录通过稳定内部标识引用。工具参数使用类型校验、长度和数量边界；分页或片段读取不会隐式触发全文下载。</w:t>
      </w:r>
    </w:p>
    <w:p>
      <w:pPr>
        <w:pStyle w:val="Heading2"/>
      </w:pPr>
      <w:r>
        <w:t>12.2 首批工具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2795"/>
        <w:gridCol w:w="3951"/>
      </w:tblGrid>
      <w:tr>
        <w:trPr>
          <w:cantSplit/>
          <w:tblHeader/>
        </w:trPr>
        <w:tc>
          <w:tcPr>
            <w:tcW w:type="dxa" w:w="2891"/>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工具</w:t>
            </w:r>
          </w:p>
        </w:tc>
        <w:tc>
          <w:tcPr>
            <w:tcW w:type="dxa" w:w="279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主要输入</w:t>
            </w:r>
          </w:p>
        </w:tc>
        <w:tc>
          <w:tcPr>
            <w:tcW w:type="dxa" w:w="3951"/>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主要输出和副作用</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create_project</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问题 学校 预算</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创建研究项目并返回 project_id</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save_screening_policy</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规则 学科 缺失策略</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新建不可变规则版本并返回 policy_id</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review_decision</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decision_id 结果 理由</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追加人工覆盖 不覆盖历史判断</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resolve_duplicate</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候选标识 关系或合并决定</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确认候选 保存合并记录</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rollback_merge</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merge_id 理由</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回滚关联与字段映射</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list_institutions</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无或学校查询词</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已配置学校及支持模式</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start_access_session</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institution_id mode</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session_id 与等待状态 打开专用浏览器</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verify_access_session</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session_id</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机构核验状态和脱敏依据</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close_access_session</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session_id clear_persisted</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清除项目会话并报告范围</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get_access_status</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session_id operation 可选</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会话 许可和资源范围摘要</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search_papers</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project_id session_id query filters sort cursor limit</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query_id 论文摘要列表和下一页游标</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get_paper</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版本标识 refresh 与 session_id 可选</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默认读取本地 刷新时显式联网核验许可</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import_records</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允许目录内文件或导入内容</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导入结果和待核查重复</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screen_papers</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文献标识 policy_id 阶段</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筛选任务或结果与逐项理由</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acquire_fulltext</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session_id 文献标识 idempotency_key</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下载任务 或人工操作与无权限状态</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import_fulltext</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文献标识 允许目录内文件</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文件校验 版本绑定和哈希</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parse_fulltext</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asset_id parser_profile</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解析任务和阅读层级</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read_paper</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版本 页码 asset_id 和 parse_artifact_id 可选</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返回实际文件哈希和解析快照及证据</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search_evidence</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project_id query top_k</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带上下文的证据片段</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prepare_review</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project_id 问题与文献范围</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文献矩阵 证据包和写作结构</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save_review</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project_id 正文与 claim 映射</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保存草稿并返回引用检查结果</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export_bibliography</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文献版本 format style</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本地导出产物和缺失字段提示</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sync_zotero</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文献版本 collection_id</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P1 幂等同步 未启用时返回能力状态</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get_job</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job_id</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状态 进度 部分结果和失败原因</w:t>
            </w:r>
          </w:p>
        </w:tc>
      </w:tr>
      <w:tr>
        <w:trPr>
          <w:cantSplit/>
        </w:trPr>
        <w:tc>
          <w:tcPr>
            <w:tcW w:type="dxa" w:w="289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resume_job</w:t>
            </w:r>
          </w:p>
        </w:tc>
        <w:tc>
          <w:tcPr>
            <w:tcW w:type="dxa" w:w="279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job_id 已验证 session_id 可选</w:t>
            </w:r>
          </w:p>
        </w:tc>
        <w:tc>
          <w:tcPr>
            <w:tcW w:type="dxa" w:w="3951"/>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从安全检查点恢复</w:t>
            </w:r>
          </w:p>
        </w:tc>
      </w:tr>
      <w:tr>
        <w:trPr>
          <w:cantSplit/>
        </w:trPr>
        <w:tc>
          <w:tcPr>
            <w:tcW w:type="dxa" w:w="289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cancel_job</w:t>
            </w:r>
          </w:p>
        </w:tc>
        <w:tc>
          <w:tcPr>
            <w:tcW w:type="dxa" w:w="279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job_id</w:t>
            </w:r>
          </w:p>
        </w:tc>
        <w:tc>
          <w:tcPr>
            <w:tcW w:type="dxa" w:w="3951"/>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取消结果和已完成产物</w:t>
            </w:r>
          </w:p>
        </w:tc>
      </w:tr>
    </w:tbl>
    <w:p>
      <w:pPr>
        <w:spacing w:after="20" w:before="0" w:line="108" w:lineRule="auto"/>
      </w:pPr>
      <w:r>
        <w:rPr>
          <w:sz w:val="6"/>
        </w:rPr>
      </w:r>
    </w:p>
    <w:p>
      <w:r>
        <w:t>表内除标明 P1 的 Zotero 同步外均为首版流程所需接口。项目和规则通过 MCP 创建；人工覆盖、重复确认及合并回滚通过相应工具操作，不要求用户直接修改数据库。学校档案和客户端处理档案通过本地配置管理，变更时校验并记录版本。</w:t>
      </w:r>
    </w:p>
    <w:p>
      <w:r>
        <w:t>所有工具和资源统一执行内容出站策略。read_paper 未指定文件与解析产物时，按项目锁定配置选择并明确返回 asset_id、文件哈希及 parse_artifact_id；历史综述和证据重放必须使用原快照。get_paper 默认只读本地数据，只有显式请求刷新且提供有效会话时才联网。</w:t>
      </w:r>
    </w:p>
    <w:p>
      <w:r>
        <w:t>save_review 保存的是可复核草稿；首版通过 Agent 撰写，不默认在 MCP 内重复调用另一个生成模型。P0 综述能力包括文献矩阵、证据包、草稿保存与引用检查。</w:t>
      </w:r>
    </w:p>
    <w:p>
      <w:pPr>
        <w:pStyle w:val="Heading2"/>
      </w:pPr>
      <w:r>
        <w:t>12.3 初始工程保护值</w:t>
      </w:r>
    </w:p>
    <w:p>
      <w:r>
        <w:t>检索每次最多返回 20 条、单次研究任务初始候选预算 100 条、片段读取初始上限约 6000 字符、top_k 初始不超过 10。单文件导入初始限制 50 MB 和 200 页，超限返回可解释状态并允许经配置调整。用户可以调低；调高需受来源、许可和运行配置约束。这些是本地响应和成本保护值，不是知网官方额度或允许抓取的数量。</w:t>
      </w:r>
    </w:p>
    <w:p>
      <w:r>
        <w:t>项目仅允许访问已配置来源、项目数据目录与用户明确选定的导入文件。客户端为云端环境时，不能假定能直接连接本地 stdio 服务；远程桥接和多用户认证作为后续独立设计。</w:t>
      </w:r>
    </w:p>
    <w:p>
      <w:pPr>
        <w:pStyle w:val="Heading1"/>
      </w:pPr>
      <w:r>
        <w:t>13 运行部署和任务恢复</w:t>
      </w:r>
    </w:p>
    <w:p>
      <w:pPr>
        <w:pStyle w:val="Heading2"/>
      </w:pPr>
      <w:r>
        <w:t>13.1 首版模块目录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99"/>
        <w:gridCol w:w="6939"/>
      </w:tblGrid>
      <w:tr>
        <w:trPr>
          <w:cantSplit/>
          <w:tblHeader/>
        </w:trPr>
        <w:tc>
          <w:tcPr>
            <w:tcW w:type="dxa" w:w="269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逻辑目录</w:t>
            </w:r>
          </w:p>
        </w:tc>
        <w:tc>
          <w:tcPr>
            <w:tcW w:type="dxa" w:w="693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保存内容</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app 与 mcp</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启动 编排 工具和资源契约</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access 与 providers</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两模式接入 学校识别和知网适配</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domain 与 storage</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实体 版本 数据库与迁移</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screening 与 citations</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规则 学科模板 引文导出</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parsing 与 evidence</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解析器 片段索引 证据与综述检查</w:t>
            </w:r>
          </w:p>
        </w:tc>
      </w:tr>
      <w:tr>
        <w:trPr>
          <w:cantSplit/>
        </w:trPr>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jobs 与 observability</w:t>
            </w:r>
          </w:p>
        </w:tc>
        <w:tc>
          <w:tcPr>
            <w:tcW w:type="dxa" w:w="693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任务 状态 恢复 日志与诊断</w:t>
            </w:r>
          </w:p>
        </w:tc>
      </w:tr>
      <w:tr>
        <w:trPr>
          <w:cantSplit/>
        </w:trPr>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tests 与 fixtures</w:t>
            </w:r>
          </w:p>
        </w:tc>
        <w:tc>
          <w:tcPr>
            <w:tcW w:type="dxa" w:w="693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单元 契约 脱敏页面和人工黄金样本</w:t>
            </w:r>
          </w:p>
        </w:tc>
      </w:tr>
    </w:tbl>
    <w:p>
      <w:pPr>
        <w:spacing w:after="20" w:before="0" w:line="108" w:lineRule="auto"/>
      </w:pPr>
      <w:r>
        <w:rPr>
          <w:sz w:val="6"/>
        </w:rPr>
      </w:r>
    </w:p>
    <w:p>
      <w:r>
        <w:t>这些是实施阶段的目录职责建议，当前文档交付不创建项目程序。运行数据默认放在用户选择的本地数据根目录，数据库、原始文件、解析产物、导出和诊断分开存储；身份会话与文献正文隔离。</w:t>
      </w:r>
    </w:p>
    <w:p>
      <w:pPr>
        <w:pStyle w:val="Heading2"/>
      </w:pPr>
      <w:r>
        <w:t>13.2 并发与状态</w:t>
      </w:r>
    </w:p>
    <w:p>
      <w:r>
        <w:t>同一浏览器上下文由会话管理器串行调度，防止检索翻页与下载操作相互干扰。下载按机构许可控制并发和间隔；解析可独立排队。首版采用 SQLite 持久任务和本地工作进程，不必同时引入消息队列服务。</w:t>
      </w:r>
    </w:p>
    <w:p>
      <w:r>
        <w:t>任务状态为 queued、running、waiting_for_user、succeeded、partially_succeeded、failed、cancelled。记录完成项、失败项和安全检查点。退出或崩溃后，运行中的任务转为待恢复，不自行重放有外部副作用的操作。</w:t>
      </w:r>
    </w:p>
    <w:p>
      <w:r>
        <w:t>幂等键由用户请求、文献版本、操作和配置摘要构成。文件已完整存在时复用；不完整临时文件不标为成功。取消后停止调度新增项，已完成结果保留。重复取消、状态查询和恢复请求应有确定结果。</w:t>
      </w:r>
    </w:p>
    <w:p>
      <w:pPr>
        <w:pStyle w:val="Heading2"/>
      </w:pPr>
      <w:r>
        <w:t>13.3 日志和模型调用</w:t>
      </w:r>
    </w:p>
    <w:p>
      <w:r>
        <w:t>日志保存 request_id、job_id、阶段、脱敏来源、耗时和错误码。禁记密码、cookie、验证码、Authorization、SAML、完整登录回调和未脱敏登录截图。诊断默认使用脱敏文本，截图只按用户选择保存到本地受控目录。</w:t>
      </w:r>
    </w:p>
    <w:p>
      <w:r>
        <w:t>文献正文和网页内容作为外部数据处理，不能执行其中的工具调用指令。服务只开放专用文献操作，不开放任意浏览器脚本、任意网络请求或 shell。模型策略记录允许的提供方、可发送内容类别和预算；身份数据始终不进入模型调用。</w:t>
      </w:r>
    </w:p>
    <w:p>
      <w:pPr>
        <w:pStyle w:val="Heading2"/>
      </w:pPr>
      <w:r>
        <w:t>13.4 数据维护</w:t>
      </w:r>
    </w:p>
    <w:p>
      <w:r>
        <w:t>数据库迁移按版本执行，升级前备份数据库及必要清单。资产不可变，删除项目或文件先展示影响范围，并保留可恢复策略。缓存按字段更新频率和许可要求设置；引用量、访问状态和许可到期需要重新检查。重建索引不覆盖原始文件与历史证据。</w:t>
      </w:r>
    </w:p>
    <w:p>
      <w:pPr>
        <w:pStyle w:val="Heading1"/>
      </w:pPr>
      <w:r>
        <w:t>14 实施计划和里程碑</w:t>
      </w:r>
    </w:p>
    <w:p>
      <w:r>
        <w:t>排期按单人、单校、本地试用版估计 8 至 10 周，外部授权和学校协调等待时间另计。真实接入验证、元数据闭环和证据综述分别设里程碑，避免离线演示掩盖在线能力缺口。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2"/>
        <w:gridCol w:w="1349"/>
        <w:gridCol w:w="3759"/>
        <w:gridCol w:w="2988"/>
      </w:tblGrid>
      <w:tr>
        <w:trPr>
          <w:cantSplit/>
          <w:tblHeader/>
        </w:trPr>
        <w:tc>
          <w:tcPr>
            <w:tcW w:type="dxa" w:w="1542"/>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阶段</w:t>
            </w:r>
          </w:p>
        </w:tc>
        <w:tc>
          <w:tcPr>
            <w:tcW w:type="dxa" w:w="134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时间</w:t>
            </w:r>
          </w:p>
        </w:tc>
        <w:tc>
          <w:tcPr>
            <w:tcW w:type="dxa" w:w="375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必须交付</w:t>
            </w:r>
          </w:p>
        </w:tc>
        <w:tc>
          <w:tcPr>
            <w:tcW w:type="dxa" w:w="2988"/>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退出条件</w:t>
            </w:r>
          </w:p>
        </w:tc>
      </w:tr>
      <w:tr>
        <w:trPr>
          <w:cantSplit/>
        </w:trPr>
        <w:tc>
          <w:tcPr>
            <w:tcW w:type="dxa" w:w="154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M0 接入验证</w:t>
            </w:r>
          </w:p>
        </w:tc>
        <w:tc>
          <w:tcPr>
            <w:tcW w:type="dxa" w:w="134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第 1 周</w:t>
            </w:r>
          </w:p>
        </w:tc>
        <w:tc>
          <w:tcPr>
            <w:tcW w:type="dxa" w:w="375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学校档案 两模式验证 操作许可表 40 篇抽样</w:t>
            </w:r>
          </w:p>
        </w:tc>
        <w:tc>
          <w:tcPr>
            <w:tcW w:type="dxa" w:w="2988"/>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明确可自动化范围及未获准能力</w:t>
            </w:r>
          </w:p>
        </w:tc>
      </w:tr>
      <w:tr>
        <w:trPr>
          <w:cantSplit/>
        </w:trPr>
        <w:tc>
          <w:tcPr>
            <w:tcW w:type="dxa" w:w="154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M1 检索闭环</w:t>
            </w:r>
          </w:p>
        </w:tc>
        <w:tc>
          <w:tcPr>
            <w:tcW w:type="dxa" w:w="134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第 2 至 3 周</w:t>
            </w:r>
          </w:p>
        </w:tc>
        <w:tc>
          <w:tcPr>
            <w:tcW w:type="dxa" w:w="375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MCP 会话 检索 分页 详情 本地库</w:t>
            </w:r>
          </w:p>
        </w:tc>
        <w:tc>
          <w:tcPr>
            <w:tcW w:type="dxa" w:w="2988"/>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真实入口完成固定检索用例</w:t>
            </w:r>
          </w:p>
        </w:tc>
      </w:tr>
      <w:tr>
        <w:trPr>
          <w:cantSplit/>
        </w:trPr>
        <w:tc>
          <w:tcPr>
            <w:tcW w:type="dxa" w:w="154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M2 文献整理</w:t>
            </w:r>
          </w:p>
        </w:tc>
        <w:tc>
          <w:tcPr>
            <w:tcW w:type="dxa" w:w="134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第 4 至 6 周</w:t>
            </w:r>
          </w:p>
        </w:tc>
        <w:tc>
          <w:tcPr>
            <w:tcW w:type="dxa" w:w="375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版本去重 规则筛选 引文 导入导出</w:t>
            </w:r>
          </w:p>
        </w:tc>
        <w:tc>
          <w:tcPr>
            <w:tcW w:type="dxa" w:w="2988"/>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可解释结果和黄金样例通过</w:t>
            </w:r>
          </w:p>
        </w:tc>
      </w:tr>
      <w:tr>
        <w:trPr>
          <w:cantSplit/>
        </w:trPr>
        <w:tc>
          <w:tcPr>
            <w:tcW w:type="dxa" w:w="1542"/>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M3 阅读综述</w:t>
            </w:r>
          </w:p>
        </w:tc>
        <w:tc>
          <w:tcPr>
            <w:tcW w:type="dxa" w:w="134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第 7 至 8 周</w:t>
            </w:r>
          </w:p>
        </w:tc>
        <w:tc>
          <w:tcPr>
            <w:tcW w:type="dxa" w:w="375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授权全文 解析 证据 矩阵和草稿</w:t>
            </w:r>
          </w:p>
        </w:tc>
        <w:tc>
          <w:tcPr>
            <w:tcW w:type="dxa" w:w="2988"/>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核心论断可定位并支持恢复</w:t>
            </w:r>
          </w:p>
        </w:tc>
      </w:tr>
      <w:tr>
        <w:trPr>
          <w:cantSplit/>
        </w:trPr>
        <w:tc>
          <w:tcPr>
            <w:tcW w:type="dxa" w:w="1542"/>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M4 试点验收</w:t>
            </w:r>
          </w:p>
        </w:tc>
        <w:tc>
          <w:tcPr>
            <w:tcW w:type="dxa" w:w="134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第 9 至 10 周</w:t>
            </w:r>
          </w:p>
        </w:tc>
        <w:tc>
          <w:tcPr>
            <w:tcW w:type="dxa" w:w="375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独立验收 缺陷修复 安装和用户文档</w:t>
            </w:r>
          </w:p>
        </w:tc>
        <w:tc>
          <w:tcPr>
            <w:tcW w:type="dxa" w:w="2988"/>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关键缺陷关闭并报告实际能力</w:t>
            </w:r>
          </w:p>
        </w:tc>
      </w:tr>
    </w:tbl>
    <w:p>
      <w:pPr>
        <w:spacing w:after="20" w:before="0" w:line="108" w:lineRule="auto"/>
      </w:pPr>
      <w:r>
        <w:rPr>
          <w:sz w:val="6"/>
        </w:rPr>
      </w:r>
    </w:p>
    <w:p>
      <w:r>
        <w:t>M0 未取得在线操作条件时，明确调整接入路线，并继续开发导入后的整理和阅读功能。该调整必须反映在里程碑状态和交付声明中，不能将导入成功标记为在线搜索或下载通过。</w:t>
      </w:r>
    </w:p>
    <w:p>
      <w:r>
        <w:t>P0 为两模式接入、可追溯题录、确定性去重、规则开关、引文、文本 PDF 证据、文献矩阵、Agent 综述草稿保存检查与任务恢复。P1 为外部元数据增强、语义重排、Zotero 同步和复杂 OCR。P1 不影响 P0 接口与数据关系；未启用时验收其正确降级，扫描件与复杂版面解析质量目标仅在相应组件启用后适用。</w:t>
      </w:r>
    </w:p>
    <w:p>
      <w:pPr>
        <w:pStyle w:val="Heading1"/>
      </w:pPr>
      <w:r>
        <w:t>15 验收集和通过标准</w:t>
      </w:r>
    </w:p>
    <w:p>
      <w:pPr>
        <w:pStyle w:val="Heading2"/>
      </w:pPr>
      <w:r>
        <w:t>15.1 样本与方法</w:t>
      </w:r>
    </w:p>
    <w:p>
      <w:r>
        <w:t>M0 从经管、计算机、电气或电子信息、理科各抽取约 10 篇，共 40 篇，检查元数据、摘要、PDF 与 CAJ 比例、入口差异和权限。后续准备约 100 篇分层试标注样本用于规则调节，另留至少 50 篇独立样本作最终验收；包含新论文、经典论文、无 DOI、扫描件、公式表格、缺失字段和版本关系。</w:t>
      </w:r>
    </w:p>
    <w:p>
      <w:r>
        <w:t>另备 20 个固定检索问题、50 组重复或相关版本样例、50 个引文黄金样例及至少 100 条综述事实。独立筛选验收集按五类模板各至少 10 篇分层，每类含至少 5 篇专家认为应纳入的正例；达不到此条件时补样或明确该模板未完成验证。规则、提示词和模型版本在验收前冻结。</w:t>
      </w:r>
    </w:p>
    <w:p>
      <w:r>
        <w:t>领域复核者给出纳入意见和依据；有条件时两人独立标注并记录分歧。样本规模用于发现缺陷和估计表现，不能据此宣称所有学科已达到统一准确率。</w:t>
      </w:r>
    </w:p>
    <w:p>
      <w:pPr>
        <w:pStyle w:val="Heading2"/>
      </w:pPr>
      <w:r>
        <w:t>15.2 认证与访问用例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3855"/>
        <w:gridCol w:w="4433"/>
      </w:tblGrid>
      <w:tr>
        <w:trPr>
          <w:cantSplit/>
          <w:tblHeader/>
        </w:trPr>
        <w:tc>
          <w:tcPr>
            <w:tcW w:type="dxa" w:w="1349"/>
            <w:vAlign w:val="center"/>
            <w:tcMar>
              <w:top w:w="85" w:type="dxa"/>
              <w:bottom w:w="85" w:type="dxa"/>
              <w:left w:w="105" w:type="dxa"/>
              <w:right w:w="105" w:type="dxa"/>
            </w:tcMar>
            <w:shd w:fill="243C55"/>
          </w:tcPr>
          <w:p>
            <w:pPr>
              <w:keepNext/>
              <w:spacing w:before="0" w:after="0" w:line="269" w:lineRule="auto"/>
              <w:jc w:val="center"/>
            </w:pPr>
            <w:r>
              <w:rPr>
                <w:rFonts w:ascii="Calibri" w:hAnsi="Calibri" w:eastAsia="微软雅黑"/>
                <w:b/>
                <w:color w:val="FFFFFF"/>
                <w:sz w:val="18"/>
              </w:rPr>
              <w:t>用例</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场景</w:t>
            </w:r>
          </w:p>
        </w:tc>
        <w:tc>
          <w:tcPr>
            <w:tcW w:type="dxa" w:w="443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通过条件</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校内网直接访问</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正确识别目标机构并记录依据</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02</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用户先连接学校 VPN</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同模式完成验证 项目未管理 VPN 凭据</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03</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普通外网首页可达</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无机构证据时不报 ready</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04</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CARSI 正常认证</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用户完成后返回知网并核验学校</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05</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CARSI 扫码 MFA 验证码</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等待用户 凭据和断言无泄露</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06</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实际机构不符</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返回不符状态并暂停目标学校任务</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07</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已登录但论文未订购</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保留题录 不尝试未经允许的获取</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08</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自动下载许可未知或拒绝</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返回许可状态 可人工导入</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09</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会话在任务中失效</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停止新增请求 重认后安全恢复</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10</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来源提示访问频繁</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暂停且不自动切换身份或路径</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11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学校或模式切换</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旧新上下文和许可无串用</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12</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既有 WebVPN 不兼容</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返回兼容性限制 无第三模式承诺</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AUTH 13</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清除会话后重启</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已清除状态不再被复用</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AUTH 14</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审查输出和日志</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无密码 cookie 验证码或身份断言</w:t>
            </w:r>
          </w:p>
        </w:tc>
      </w:tr>
    </w:tbl>
    <w:p>
      <w:pPr>
        <w:spacing w:after="20" w:before="0" w:line="108" w:lineRule="auto"/>
      </w:pPr>
      <w:r>
        <w:rPr>
          <w:sz w:val="6"/>
        </w:rPr>
      </w:r>
    </w:p>
    <w:p>
      <w:r>
        <w:t>两种认证模式需要在试点学校真实验证。学校不支持其中一种时，记录该模式未通过试点验收，并选择能同时验证两种模式的补充试点或调整验收范围；不能将模拟 IdP 当作真实学校成功结果。</w:t>
      </w:r>
    </w:p>
    <w:p>
      <w:pPr>
        <w:pStyle w:val="Heading2"/>
      </w:pPr>
      <w:r>
        <w:t>15.3 功能和质量验收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3855"/>
        <w:gridCol w:w="4433"/>
      </w:tblGrid>
      <w:tr>
        <w:trPr>
          <w:cantSplit/>
          <w:tblHeader/>
        </w:trPr>
        <w:tc>
          <w:tcPr>
            <w:tcW w:type="dxa" w:w="1349"/>
            <w:vAlign w:val="center"/>
            <w:tcMar>
              <w:top w:w="85" w:type="dxa"/>
              <w:bottom w:w="85" w:type="dxa"/>
              <w:left w:w="105" w:type="dxa"/>
              <w:right w:w="105" w:type="dxa"/>
            </w:tcMar>
            <w:shd w:fill="243C55"/>
          </w:tcPr>
          <w:p>
            <w:pPr>
              <w:keepNext/>
              <w:spacing w:before="0" w:after="0" w:line="269" w:lineRule="auto"/>
              <w:jc w:val="center"/>
            </w:pPr>
            <w:r>
              <w:rPr>
                <w:rFonts w:ascii="Calibri" w:hAnsi="Calibri" w:eastAsia="微软雅黑"/>
                <w:b/>
                <w:color w:val="FFFFFF"/>
                <w:sz w:val="18"/>
              </w:rPr>
              <w:t>需求</w:t>
            </w:r>
          </w:p>
        </w:tc>
        <w:tc>
          <w:tcPr>
            <w:tcW w:type="dxa" w:w="385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样例和目标</w:t>
            </w:r>
          </w:p>
        </w:tc>
        <w:tc>
          <w:tcPr>
            <w:tcW w:type="dxa" w:w="4433"/>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判定方式</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POL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操作许可三态和范围均可追溯</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未知或拒绝能力不被下游调用</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SEA 01</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20 个固定问题与人工页面对照</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页条件 计数 截断原因完整 关键路径无未解释失败</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MET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核心题录字段准确率目标不低于 95%</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按字段 学科和缺失状态分别报告</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DED 01</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50 组关系样例关键误合并为 0</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自动合并精确率目标不低于 99% 候选可回滚</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QUA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独立集应纳入文献召回率目标不低于 95%</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同时报告误杀 原因 分层数量及不确定性</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CIT 01</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50 个黄金样例</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必需字段与格式逐项核验 虚构字段为 0</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FUL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正常 失败 过期和重复请求</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成功文件可验证 可追溯 幂等且不误报</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PAR 01</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文本 扫描和复杂版面分层抽检</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页序号定位目标不低于 95% 解析缺陷单列</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REV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至少 100 条事实抽检</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支持率目标不低于 95% 虚构论文和证据为 0</w:t>
            </w:r>
          </w:p>
        </w:tc>
      </w:tr>
      <w:tr>
        <w:trPr>
          <w:cantSplit/>
        </w:trPr>
        <w:tc>
          <w:tcPr>
            <w:tcW w:type="dxa" w:w="1349"/>
            <w:vAlign w:val="center"/>
            <w:tcMar>
              <w:top w:w="85" w:type="dxa"/>
              <w:bottom w:w="85" w:type="dxa"/>
              <w:left w:w="105" w:type="dxa"/>
              <w:right w:w="105" w:type="dxa"/>
            </w:tcMar>
            <w:shd w:fill="F1F4F7"/>
          </w:tcPr>
          <w:p>
            <w:pPr>
              <w:keepNext w:val="0"/>
              <w:spacing w:before="0" w:after="0" w:line="269" w:lineRule="auto"/>
              <w:jc w:val="center"/>
            </w:pPr>
            <w:r>
              <w:rPr>
                <w:rFonts w:ascii="Calibri" w:hAnsi="Calibri" w:eastAsia="微软雅黑"/>
                <w:b w:val="0"/>
                <w:color w:val="000000"/>
                <w:sz w:val="18"/>
              </w:rPr>
              <w:t>JOB 01</w:t>
            </w:r>
          </w:p>
        </w:tc>
        <w:tc>
          <w:tcPr>
            <w:tcW w:type="dxa" w:w="385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断网 取消 崩溃 单文件失败</w:t>
            </w:r>
          </w:p>
        </w:tc>
        <w:tc>
          <w:tcPr>
            <w:tcW w:type="dxa" w:w="4433"/>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已完成结果保留 恢复不重复副作用</w:t>
            </w:r>
          </w:p>
        </w:tc>
      </w:tr>
      <w:tr>
        <w:trPr>
          <w:cantSplit/>
        </w:trPr>
        <w:tc>
          <w:tcPr>
            <w:tcW w:type="dxa" w:w="1349"/>
            <w:vAlign w:val="center"/>
            <w:tcMar>
              <w:top w:w="85" w:type="dxa"/>
              <w:bottom w:w="85" w:type="dxa"/>
              <w:left w:w="105" w:type="dxa"/>
              <w:right w:w="105" w:type="dxa"/>
            </w:tcMar>
            <w:shd w:fill="FFFFFF"/>
          </w:tcPr>
          <w:p>
            <w:pPr>
              <w:keepNext w:val="0"/>
              <w:spacing w:before="0" w:after="0" w:line="269" w:lineRule="auto"/>
              <w:jc w:val="center"/>
            </w:pPr>
            <w:r>
              <w:rPr>
                <w:rFonts w:ascii="Calibri" w:hAnsi="Calibri" w:eastAsia="微软雅黑"/>
                <w:b w:val="0"/>
                <w:color w:val="000000"/>
                <w:sz w:val="18"/>
              </w:rPr>
              <w:t>SEC 01</w:t>
            </w:r>
          </w:p>
        </w:tc>
        <w:tc>
          <w:tcPr>
            <w:tcW w:type="dxa" w:w="385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会话 目录 模型出站和脱敏检查</w:t>
            </w:r>
          </w:p>
        </w:tc>
        <w:tc>
          <w:tcPr>
            <w:tcW w:type="dxa" w:w="4433"/>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关键泄露缺陷为 0</w:t>
            </w:r>
          </w:p>
        </w:tc>
      </w:tr>
    </w:tbl>
    <w:p>
      <w:pPr>
        <w:spacing w:after="20" w:before="0" w:line="108" w:lineRule="auto"/>
      </w:pPr>
      <w:r>
        <w:rPr>
          <w:sz w:val="6"/>
        </w:rPr>
      </w:r>
    </w:p>
    <w:p>
      <w:r>
        <w:t>字段正确率按人工对照中已取得字段的正确数除以已取得字段数计算，字段可得率按实际采集到的字段数除以人工同会话可取得的字段数计算；两者与缺失率分别报告，人工页面本身缺失的值另行统计。去重精确率的分母为实际自动合并次数，筛选召回率的分母为独立集中专家认为应纳入的文献数，证据支持率的分母为本次抽检的实质性事实数。</w:t>
      </w:r>
    </w:p>
    <w:p>
      <w:r>
        <w:t>解析测试至少包括 20 篇文本 PDF、10 篇扫描件和 10 篇含公式表格或双栏复杂版面的文件，可与前述文献样本复用。未启用 P1 时，扫描与复杂样本用于验证准确识别限制和降级，不能记为解析质量通过。</w:t>
      </w:r>
    </w:p>
    <w:p>
      <w:r>
        <w:t>这些比例是建设目标，不是现有组件性能承诺。验收报告同时给出样本数、成功数、分层结果和失败案例；小样本去重精确率应按实际计数解释。任一越权操作、凭据泄露、关键误合并或虚构证据属于阻断缺陷。其他 P0 目标未达成时，该项不得记为通过；如发布受限试用，需记录项目负责人的例外决定、适用范围和修复计划。</w:t>
      </w:r>
    </w:p>
    <w:p>
      <w:pPr>
        <w:pStyle w:val="Heading2"/>
      </w:pPr>
      <w:r>
        <w:t>15.4 性能和资源口径</w:t>
      </w:r>
    </w:p>
    <w:p>
      <w:r>
        <w:t>M0 冻结测试电脑、网络路径、文件规模、模型、解析器和并发配置。对本地状态查询与本地题录读取各重复至少 30 次，记录中位数和 P95，初始目标为 P95 不超过 1 秒；长任务受理初始目标为 2 秒内返回 job_id。真实检索、下载、解析和模型调用分别记录耗时、失败率与峰值内存，不用模拟耗时替代真实来源结果。</w:t>
      </w:r>
    </w:p>
    <w:p>
      <w:r>
        <w:t>初始网络单请求超时 30 秒、单文件解析 300 秒、单次模型调用 90 秒，均可在 M0 按实测调整后冻结。等待用户认证使用独立状态，不在后台无限运行或持续模型轮询。超时后保留可恢复记录；大文件、低配设备及未启用 OCR 的能力边界在验收报告中列明。</w:t>
      </w:r>
    </w:p>
    <w:p>
      <w:pPr>
        <w:pStyle w:val="Heading1"/>
      </w:pPr>
      <w:r>
        <w:t>16 风险与决策记录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2699"/>
        <w:gridCol w:w="4915"/>
      </w:tblGrid>
      <w:tr>
        <w:trPr>
          <w:cantSplit/>
          <w:tblHeader/>
        </w:trPr>
        <w:tc>
          <w:tcPr>
            <w:tcW w:type="dxa" w:w="2024"/>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风险</w:t>
            </w:r>
          </w:p>
        </w:tc>
        <w:tc>
          <w:tcPr>
            <w:tcW w:type="dxa" w:w="2699"/>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触发信号</w:t>
            </w:r>
          </w:p>
        </w:tc>
        <w:tc>
          <w:tcPr>
            <w:tcW w:type="dxa" w:w="4915"/>
            <w:vAlign w:val="center"/>
            <w:tcMar>
              <w:top w:w="85" w:type="dxa"/>
              <w:bottom w:w="85" w:type="dxa"/>
              <w:left w:w="105" w:type="dxa"/>
              <w:right w:w="105" w:type="dxa"/>
            </w:tcMar>
            <w:shd w:fill="243C55"/>
          </w:tcPr>
          <w:p>
            <w:pPr>
              <w:keepNext/>
              <w:spacing w:before="0" w:after="0" w:line="269" w:lineRule="auto"/>
            </w:pPr>
            <w:r>
              <w:rPr>
                <w:rFonts w:ascii="Calibri" w:hAnsi="Calibri" w:eastAsia="微软雅黑"/>
                <w:b/>
                <w:color w:val="FFFFFF"/>
                <w:sz w:val="18"/>
              </w:rPr>
              <w:t>对策和交付影响</w:t>
            </w:r>
          </w:p>
        </w:tc>
      </w:tr>
      <w:tr>
        <w:trPr>
          <w:cantSplit/>
        </w:trPr>
        <w:tc>
          <w:tcPr>
            <w:tcW w:type="dxa" w:w="2024"/>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自动化许可不足</w:t>
            </w:r>
          </w:p>
        </w:tc>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条款禁止或许可未知</w:t>
            </w:r>
          </w:p>
        </w:tc>
        <w:tc>
          <w:tcPr>
            <w:tcW w:type="dxa" w:w="491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关闭对应操作 在线功能保持未验收</w:t>
            </w:r>
          </w:p>
        </w:tc>
      </w:tr>
      <w:tr>
        <w:trPr>
          <w:cantSplit/>
        </w:trPr>
        <w:tc>
          <w:tcPr>
            <w:tcW w:type="dxa" w:w="2024"/>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页面和入口变化</w:t>
            </w:r>
          </w:p>
        </w:tc>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机构识别或字段抽取异常</w:t>
            </w:r>
          </w:p>
        </w:tc>
        <w:tc>
          <w:tcPr>
            <w:tcW w:type="dxa" w:w="491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停止采集 脱敏夹具回归 修正适配器</w:t>
            </w:r>
          </w:p>
        </w:tc>
      </w:tr>
      <w:tr>
        <w:trPr>
          <w:cantSplit/>
        </w:trPr>
        <w:tc>
          <w:tcPr>
            <w:tcW w:type="dxa" w:w="2024"/>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CARSI 学校差异</w:t>
            </w:r>
          </w:p>
        </w:tc>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无目标学校或跳转异常</w:t>
            </w:r>
          </w:p>
        </w:tc>
        <w:tc>
          <w:tcPr>
            <w:tcW w:type="dxa" w:w="491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更新档案 用户交互 必要时补充试点</w:t>
            </w:r>
          </w:p>
        </w:tc>
      </w:tr>
      <w:tr>
        <w:trPr>
          <w:cantSplit/>
        </w:trPr>
        <w:tc>
          <w:tcPr>
            <w:tcW w:type="dxa" w:w="2024"/>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网页代理不兼容</w:t>
            </w:r>
          </w:p>
        </w:tc>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域名重写或下载失败</w:t>
            </w:r>
          </w:p>
        </w:tc>
        <w:tc>
          <w:tcPr>
            <w:tcW w:type="dxa" w:w="491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返回限制 使用已支持路径</w:t>
            </w:r>
          </w:p>
        </w:tc>
      </w:tr>
      <w:tr>
        <w:trPr>
          <w:cantSplit/>
        </w:trPr>
        <w:tc>
          <w:tcPr>
            <w:tcW w:type="dxa" w:w="2024"/>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中文和扫描解析差</w:t>
            </w:r>
          </w:p>
        </w:tc>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阅读顺序 公式 表格失真</w:t>
            </w:r>
          </w:p>
        </w:tc>
        <w:tc>
          <w:tcPr>
            <w:tcW w:type="dxa" w:w="491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分层路由 人工复核 不生成强结论</w:t>
            </w:r>
          </w:p>
        </w:tc>
      </w:tr>
      <w:tr>
        <w:trPr>
          <w:cantSplit/>
        </w:trPr>
        <w:tc>
          <w:tcPr>
            <w:tcW w:type="dxa" w:w="2024"/>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指标覆盖不足</w:t>
            </w:r>
          </w:p>
        </w:tc>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无 DOI 引用或名单匹配</w:t>
            </w:r>
          </w:p>
        </w:tc>
        <w:tc>
          <w:tcPr>
            <w:tcW w:type="dxa" w:w="491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缺失状态与覆盖率独立呈现</w:t>
            </w:r>
          </w:p>
        </w:tc>
      </w:tr>
      <w:tr>
        <w:trPr>
          <w:cantSplit/>
        </w:trPr>
        <w:tc>
          <w:tcPr>
            <w:tcW w:type="dxa" w:w="2024"/>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模型生成无依据</w:t>
            </w:r>
          </w:p>
        </w:tc>
        <w:tc>
          <w:tcPr>
            <w:tcW w:type="dxa" w:w="2699"/>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引用不存在或片段不支持</w:t>
            </w:r>
          </w:p>
        </w:tc>
        <w:tc>
          <w:tcPr>
            <w:tcW w:type="dxa" w:w="4915"/>
            <w:vAlign w:val="center"/>
            <w:tcMar>
              <w:top w:w="85" w:type="dxa"/>
              <w:bottom w:w="85" w:type="dxa"/>
              <w:left w:w="105" w:type="dxa"/>
              <w:right w:w="105" w:type="dxa"/>
            </w:tcMar>
            <w:shd w:fill="FFFFFF"/>
          </w:tcPr>
          <w:p>
            <w:pPr>
              <w:keepNext w:val="0"/>
              <w:spacing w:before="0" w:after="0" w:line="269" w:lineRule="auto"/>
            </w:pPr>
            <w:r>
              <w:rPr>
                <w:rFonts w:ascii="Calibri" w:hAnsi="Calibri" w:eastAsia="微软雅黑"/>
                <w:b w:val="0"/>
                <w:color w:val="000000"/>
                <w:sz w:val="18"/>
              </w:rPr>
              <w:t>身份检查 支持检查与人工抽检</w:t>
            </w:r>
          </w:p>
        </w:tc>
      </w:tr>
      <w:tr>
        <w:trPr>
          <w:cantSplit/>
        </w:trPr>
        <w:tc>
          <w:tcPr>
            <w:tcW w:type="dxa" w:w="2024"/>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任务范围过大</w:t>
            </w:r>
          </w:p>
        </w:tc>
        <w:tc>
          <w:tcPr>
            <w:tcW w:type="dxa" w:w="2699"/>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多校 多租户或复杂格式挤占排期</w:t>
            </w:r>
          </w:p>
        </w:tc>
        <w:tc>
          <w:tcPr>
            <w:tcW w:type="dxa" w:w="4915"/>
            <w:vAlign w:val="center"/>
            <w:tcMar>
              <w:top w:w="85" w:type="dxa"/>
              <w:bottom w:w="85" w:type="dxa"/>
              <w:left w:w="105" w:type="dxa"/>
              <w:right w:w="105" w:type="dxa"/>
            </w:tcMar>
            <w:shd w:fill="F1F4F7"/>
          </w:tcPr>
          <w:p>
            <w:pPr>
              <w:keepNext w:val="0"/>
              <w:spacing w:before="0" w:after="0" w:line="269" w:lineRule="auto"/>
            </w:pPr>
            <w:r>
              <w:rPr>
                <w:rFonts w:ascii="Calibri" w:hAnsi="Calibri" w:eastAsia="微软雅黑"/>
                <w:b w:val="0"/>
                <w:color w:val="000000"/>
                <w:sz w:val="18"/>
              </w:rPr>
              <w:t>保持 P0 范围 将扩展列入后续</w:t>
            </w:r>
          </w:p>
        </w:tc>
      </w:tr>
    </w:tbl>
    <w:p>
      <w:pPr>
        <w:spacing w:after="20" w:before="0" w:line="108" w:lineRule="auto"/>
      </w:pPr>
      <w:r>
        <w:rPr>
          <w:sz w:val="6"/>
        </w:rPr>
      </w:r>
    </w:p>
    <w:p>
      <w:r>
        <w:t>开工时确认试点学校、官方指南和入口、用户身份资格、两模式支持情况、自动化与内容处理许可、模型运行位置、学校引文模板及领域复核者。每项决策记录日期、依据、负责人角色、影响范围和复查条件。当前学校名称、接口合作条件和模型供应商保留为实施前待定项，不填造承诺或报价。</w:t>
      </w:r>
    </w:p>
    <w:p>
      <w:pPr>
        <w:pStyle w:val="Heading1"/>
      </w:pPr>
      <w:r>
        <w:t>17 调研依据与来源</w:t>
      </w:r>
    </w:p>
    <w:p>
      <w:r>
        <w:t>来源核验日期为 2026 年 10 月 19 日。高校指南和仓库属于实施依据，真实学校能力以试点验证为准。以下链接在 Word 中可直接打开，网页或许可变更后需要重新核验。</w:t>
      </w:r>
    </w:p>
    <w:p>
      <w:pPr>
        <w:pStyle w:val="ListParagraph"/>
        <w:ind w:left="227" w:hanging="170"/>
      </w:pPr>
      <w:r>
        <w:t xml:space="preserve">• </w:t>
      </w:r>
      <w:hyperlink r:id="rId9">
        <w:r>
          <w:rPr>
            <w:color w:val="24476A"/>
            <w:rFonts w:eastAsia="微软雅黑" w:ascii="Calibri" w:hAnsi="Calibri"/>
          </w:rPr>
          <w:t>S1 复旦大学中国知网主站使用说明</w:t>
        </w:r>
      </w:hyperlink>
      <w:r>
        <w:t xml:space="preserve"> 说明校内 IP VPN 代理 CARSI 及资源订购情况。</w:t>
      </w:r>
    </w:p>
    <w:p>
      <w:pPr>
        <w:pStyle w:val="ListParagraph"/>
        <w:ind w:left="227" w:hanging="170"/>
      </w:pPr>
      <w:r>
        <w:t xml:space="preserve">• </w:t>
      </w:r>
      <w:hyperlink r:id="rId10">
        <w:r>
          <w:rPr>
            <w:color w:val="24476A"/>
            <w:rFonts w:eastAsia="微软雅黑" w:ascii="Calibri" w:hAnsi="Calibri"/>
          </w:rPr>
          <w:t>S2 复旦大学校外访问</w:t>
        </w:r>
      </w:hyperlink>
      <w:r>
        <w:t xml:space="preserve"> 列出校外访问方式和身份条件。</w:t>
      </w:r>
    </w:p>
    <w:p>
      <w:pPr>
        <w:pStyle w:val="ListParagraph"/>
        <w:ind w:left="227" w:hanging="170"/>
      </w:pPr>
      <w:r>
        <w:t xml:space="preserve">• </w:t>
      </w:r>
      <w:hyperlink r:id="rId11">
        <w:r>
          <w:rPr>
            <w:color w:val="24476A"/>
            <w:rFonts w:eastAsia="微软雅黑" w:ascii="Calibri" w:hAnsi="Calibri"/>
          </w:rPr>
          <w:t>S3 上海财经大学校外访问</w:t>
        </w:r>
      </w:hyperlink>
      <w:r>
        <w:t xml:space="preserve"> 当前页面链接的 2024 年数据库清单包含知网 VPN 与 CARSI。</w:t>
      </w:r>
    </w:p>
    <w:p>
      <w:pPr>
        <w:pStyle w:val="ListParagraph"/>
        <w:ind w:left="227" w:hanging="170"/>
      </w:pPr>
      <w:r>
        <w:t xml:space="preserve">• </w:t>
      </w:r>
      <w:hyperlink r:id="rId12">
        <w:r>
          <w:rPr>
            <w:color w:val="24476A"/>
            <w:rFonts w:eastAsia="微软雅黑" w:ascii="Calibri" w:hAnsi="Calibri"/>
          </w:rPr>
          <w:t>S4 华中科技大学学术文献资源聚合访问</w:t>
        </w:r>
      </w:hyperlink>
      <w:r>
        <w:t xml:space="preserve"> 明确通过统一身份和 CARSI 访问知网。</w:t>
      </w:r>
    </w:p>
    <w:p>
      <w:pPr>
        <w:pStyle w:val="ListParagraph"/>
        <w:ind w:left="227" w:hanging="170"/>
      </w:pPr>
      <w:r>
        <w:t xml:space="preserve">• </w:t>
      </w:r>
      <w:hyperlink r:id="rId13">
        <w:r>
          <w:rPr>
            <w:color w:val="24476A"/>
            <w:rFonts w:eastAsia="微软雅黑" w:ascii="Calibri" w:hAnsi="Calibri"/>
          </w:rPr>
          <w:t>S5 济南大学 CARSI 资源</w:t>
        </w:r>
      </w:hyperlink>
      <w:r>
        <w:t xml:space="preserve"> 列出知网认证入口和 VPN 路径。</w:t>
      </w:r>
    </w:p>
    <w:p>
      <w:pPr>
        <w:pStyle w:val="ListParagraph"/>
        <w:ind w:left="227" w:hanging="170"/>
      </w:pPr>
      <w:r>
        <w:t xml:space="preserve">• </w:t>
      </w:r>
      <w:hyperlink r:id="rId14">
        <w:r>
          <w:rPr>
            <w:color w:val="24476A"/>
            <w:rFonts w:eastAsia="微软雅黑" w:ascii="Calibri" w:hAnsi="Calibri"/>
          </w:rPr>
          <w:t>S6 中央财经大学校外访问电子资源全攻略</w:t>
        </w:r>
      </w:hyperlink>
      <w:r>
        <w:t xml:space="preserve"> 2024 年指南包含知网 CARSI 和校外入口。</w:t>
      </w:r>
    </w:p>
    <w:p>
      <w:pPr>
        <w:pStyle w:val="ListParagraph"/>
        <w:ind w:left="227" w:hanging="170"/>
      </w:pPr>
      <w:r>
        <w:t xml:space="preserve">• </w:t>
      </w:r>
      <w:hyperlink r:id="rId15">
        <w:r>
          <w:rPr>
            <w:color w:val="24476A"/>
            <w:rFonts w:eastAsia="微软雅黑" w:ascii="Calibri" w:hAnsi="Calibri"/>
          </w:rPr>
          <w:t>S7 复旦大学关于访问中国知网的重要通知</w:t>
        </w:r>
      </w:hyperlink>
      <w:r>
        <w:t xml:space="preserve"> 明确手动下载及批量下载限制。</w:t>
      </w:r>
    </w:p>
    <w:p>
      <w:pPr>
        <w:pStyle w:val="ListParagraph"/>
        <w:ind w:left="227" w:hanging="170"/>
      </w:pPr>
      <w:r>
        <w:t xml:space="preserve">• </w:t>
      </w:r>
      <w:hyperlink r:id="rId16">
        <w:r>
          <w:rPr>
            <w:color w:val="24476A"/>
            <w:rFonts w:eastAsia="微软雅黑" w:ascii="Calibri" w:hAnsi="Calibri"/>
          </w:rPr>
          <w:t>S8 济南大学电子资源使用通知</w:t>
        </w:r>
      </w:hyperlink>
      <w:r>
        <w:t xml:space="preserve"> 2024 年通知涉及自动下载和智能机器人限制。</w:t>
      </w:r>
    </w:p>
    <w:p>
      <w:pPr>
        <w:pStyle w:val="ListParagraph"/>
        <w:ind w:left="227" w:hanging="170"/>
      </w:pPr>
      <w:r>
        <w:t xml:space="preserve">• </w:t>
      </w:r>
      <w:hyperlink r:id="rId17">
        <w:r>
          <w:rPr>
            <w:color w:val="24476A"/>
            <w:rFonts w:eastAsia="微软雅黑" w:ascii="Calibri" w:hAnsi="Calibri"/>
          </w:rPr>
          <w:t>S9 知网研学开放平台文档索引</w:t>
        </w:r>
      </w:hyperlink>
      <w:r>
        <w:t xml:space="preserve"> 高校代理索引中的应用申请与审核线索 不能据此确认 KNS 全库接口能力。</w:t>
      </w:r>
    </w:p>
    <w:p>
      <w:pPr>
        <w:pStyle w:val="ListParagraph"/>
        <w:ind w:left="227" w:hanging="170"/>
      </w:pPr>
      <w:r>
        <w:t xml:space="preserve">• </w:t>
      </w:r>
      <w:hyperlink r:id="rId18">
        <w:r>
          <w:rPr>
            <w:color w:val="24476A"/>
            <w:rFonts w:eastAsia="微软雅黑" w:ascii="Calibri" w:hAnsi="Calibri"/>
          </w:rPr>
          <w:t>S10 官方 MCP Python SDK</w:t>
        </w:r>
      </w:hyperlink>
      <w:r>
        <w:t xml:space="preserve"> 协议实现和本地传输参考。</w:t>
      </w:r>
    </w:p>
    <w:p>
      <w:pPr>
        <w:pStyle w:val="ListParagraph"/>
        <w:ind w:left="227" w:hanging="170"/>
      </w:pPr>
      <w:r>
        <w:t xml:space="preserve">• </w:t>
      </w:r>
      <w:hyperlink r:id="rId19">
        <w:r>
          <w:rPr>
            <w:color w:val="24476A"/>
            <w:rFonts w:eastAsia="微软雅黑" w:ascii="Calibri" w:hAnsi="Calibri"/>
          </w:rPr>
          <w:t>S11 Playwright</w:t>
        </w:r>
      </w:hyperlink>
      <w:r>
        <w:t xml:space="preserve"> 及其</w:t>
      </w:r>
      <w:hyperlink r:id="rId20">
        <w:r>
          <w:rPr>
            <w:color w:val="24476A"/>
            <w:rFonts w:eastAsia="微软雅黑" w:ascii="Calibri" w:hAnsi="Calibri"/>
          </w:rPr>
          <w:t>认证状态文档</w:t>
        </w:r>
      </w:hyperlink>
      <w:r>
        <w:t xml:space="preserve"> 浏览器会话和状态管理参考。</w:t>
      </w:r>
    </w:p>
    <w:p>
      <w:pPr>
        <w:pStyle w:val="ListParagraph"/>
        <w:ind w:left="227" w:hanging="170"/>
      </w:pPr>
      <w:r>
        <w:t xml:space="preserve">• </w:t>
      </w:r>
      <w:hyperlink r:id="rId21">
        <w:r>
          <w:rPr>
            <w:color w:val="24476A"/>
            <w:rFonts w:eastAsia="微软雅黑" w:ascii="Calibri" w:hAnsi="Calibri"/>
          </w:rPr>
          <w:t>S12 Jasminum</w:t>
        </w:r>
      </w:hyperlink>
      <w:r>
        <w:t xml:space="preserve"> 中文元数据和附件管理生态。</w:t>
      </w:r>
    </w:p>
    <w:p>
      <w:pPr>
        <w:pStyle w:val="ListParagraph"/>
        <w:ind w:left="227" w:hanging="170"/>
      </w:pPr>
      <w:r>
        <w:t xml:space="preserve">• </w:t>
      </w:r>
      <w:hyperlink r:id="rId22">
        <w:r>
          <w:rPr>
            <w:color w:val="24476A"/>
            <w:rFonts w:eastAsia="微软雅黑" w:ascii="Calibri" w:hAnsi="Calibri"/>
          </w:rPr>
          <w:t>S13 Zotero MCP</w:t>
        </w:r>
      </w:hyperlink>
      <w:r>
        <w:t xml:space="preserve"> 文献库与 MCP 工具设计参考。</w:t>
      </w:r>
    </w:p>
    <w:p>
      <w:pPr>
        <w:pStyle w:val="ListParagraph"/>
        <w:ind w:left="227" w:hanging="170"/>
      </w:pPr>
      <w:r>
        <w:t xml:space="preserve">• </w:t>
      </w:r>
      <w:hyperlink r:id="rId23">
        <w:r>
          <w:rPr>
            <w:color w:val="24476A"/>
            <w:rFonts w:eastAsia="微软雅黑" w:ascii="Calibri" w:hAnsi="Calibri"/>
          </w:rPr>
          <w:t>S14 MinerU</w:t>
        </w:r>
      </w:hyperlink>
      <w:r>
        <w:t xml:space="preserve"> 文档解析候选组件。</w:t>
      </w:r>
    </w:p>
    <w:p>
      <w:pPr>
        <w:pStyle w:val="ListParagraph"/>
        <w:ind w:left="227" w:hanging="170"/>
      </w:pPr>
      <w:r>
        <w:t xml:space="preserve">• </w:t>
      </w:r>
      <w:hyperlink r:id="rId24">
        <w:r>
          <w:rPr>
            <w:color w:val="24476A"/>
            <w:rFonts w:eastAsia="微软雅黑" w:ascii="Calibri" w:hAnsi="Calibri"/>
          </w:rPr>
          <w:t>S15 MinerU 当前许可</w:t>
        </w:r>
      </w:hyperlink>
      <w:r>
        <w:t xml:space="preserve"> 包含基于 Apache 2.0 的附加条款。</w:t>
      </w:r>
    </w:p>
    <w:p>
      <w:pPr>
        <w:pStyle w:val="ListParagraph"/>
        <w:ind w:left="227" w:hanging="170"/>
      </w:pPr>
      <w:r>
        <w:t xml:space="preserve">• </w:t>
      </w:r>
      <w:hyperlink r:id="rId25">
        <w:r>
          <w:rPr>
            <w:color w:val="24476A"/>
            <w:rFonts w:eastAsia="微软雅黑" w:ascii="Calibri" w:hAnsi="Calibri"/>
          </w:rPr>
          <w:t>S16 Paper Search MCP</w:t>
        </w:r>
      </w:hyperlink>
      <w:r>
        <w:t xml:space="preserve"> 多源检索模型和错误处理参考。</w:t>
      </w:r>
    </w:p>
    <w:p>
      <w:pPr>
        <w:pStyle w:val="ListParagraph"/>
        <w:ind w:left="227" w:hanging="170"/>
      </w:pPr>
      <w:r>
        <w:t xml:space="preserve">• </w:t>
      </w:r>
      <w:hyperlink r:id="rId26">
        <w:r>
          <w:rPr>
            <w:color w:val="24476A"/>
            <w:rFonts w:eastAsia="微软雅黑" w:ascii="Calibri" w:hAnsi="Calibri"/>
          </w:rPr>
          <w:t>S17 PaperQA2</w:t>
        </w:r>
      </w:hyperlink>
      <w:r>
        <w:t xml:space="preserve"> 科学文献证据检索与回答参考。</w:t>
      </w:r>
    </w:p>
    <w:p>
      <w:pPr>
        <w:pStyle w:val="ListParagraph"/>
        <w:ind w:left="227" w:hanging="170"/>
      </w:pPr>
      <w:r>
        <w:t xml:space="preserve">• </w:t>
      </w:r>
      <w:hyperlink r:id="rId27">
        <w:r>
          <w:rPr>
            <w:color w:val="24476A"/>
            <w:rFonts w:eastAsia="微软雅黑" w:ascii="Calibri" w:hAnsi="Calibri"/>
          </w:rPr>
          <w:t>S18 GROBID</w:t>
        </w:r>
      </w:hyperlink>
      <w:r>
        <w:t xml:space="preserve"> 学术文档结构和参考文献解析候选。</w:t>
      </w:r>
    </w:p>
    <w:p>
      <w:pPr>
        <w:pStyle w:val="ListParagraph"/>
        <w:ind w:left="227" w:hanging="170"/>
      </w:pPr>
      <w:r>
        <w:t xml:space="preserve">• </w:t>
      </w:r>
      <w:hyperlink r:id="rId28">
        <w:r>
          <w:rPr>
            <w:color w:val="24476A"/>
            <w:rFonts w:eastAsia="微软雅黑" w:ascii="Calibri" w:hAnsi="Calibri"/>
          </w:rPr>
          <w:t>S19 CNKI Skills</w:t>
        </w:r>
      </w:hyperlink>
      <w:r>
        <w:t xml:space="preserve"> 知网浏览器流程参考 独立许可文件需核验。</w:t>
      </w:r>
    </w:p>
    <w:p>
      <w:pPr>
        <w:pStyle w:val="ListParagraph"/>
        <w:ind w:left="227" w:hanging="170"/>
      </w:pPr>
      <w:r>
        <w:t xml:space="preserve">• </w:t>
      </w:r>
      <w:hyperlink r:id="rId29">
        <w:r>
          <w:rPr>
            <w:color w:val="24476A"/>
            <w:rFonts w:eastAsia="微软雅黑" w:ascii="Calibri" w:hAnsi="Calibri"/>
          </w:rPr>
          <w:t>S20 SepineTam CNKI MCP</w:t>
        </w:r>
      </w:hyperlink>
      <w:r>
        <w:t xml:space="preserve"> 检索和文章信息读取参考。</w:t>
      </w:r>
    </w:p>
    <w:p>
      <w:pPr>
        <w:pStyle w:val="ListParagraph"/>
        <w:ind w:left="227" w:hanging="170"/>
      </w:pPr>
      <w:r>
        <w:t xml:space="preserve">• </w:t>
      </w:r>
      <w:hyperlink r:id="rId30">
        <w:r>
          <w:rPr>
            <w:color w:val="24476A"/>
            <w:rFonts w:eastAsia="微软雅黑" w:ascii="Calibri" w:hAnsi="Calibri"/>
          </w:rPr>
          <w:t>S21 Wuruiqi CNKI MCP</w:t>
        </w:r>
      </w:hyperlink>
      <w:r>
        <w:t xml:space="preserve"> 知网到 Zotero 流程原型参考。</w:t>
      </w:r>
    </w:p>
    <w:p>
      <w:pPr>
        <w:pStyle w:val="ListParagraph"/>
        <w:ind w:left="227" w:hanging="170"/>
      </w:pPr>
      <w:r>
        <w:t xml:space="preserve">• </w:t>
      </w:r>
      <w:hyperlink r:id="rId31">
        <w:r>
          <w:rPr>
            <w:color w:val="24476A"/>
            <w:rFonts w:eastAsia="微软雅黑" w:ascii="Calibri" w:hAnsi="Calibri"/>
          </w:rPr>
          <w:t>S22 Crossref REST API</w:t>
        </w:r>
      </w:hyperlink>
      <w:r>
        <w:t xml:space="preserve"> 元数据与摘要许可边界。</w:t>
      </w:r>
    </w:p>
    <w:p>
      <w:pPr>
        <w:pStyle w:val="ListParagraph"/>
        <w:ind w:left="227" w:hanging="170"/>
      </w:pPr>
      <w:r>
        <w:t xml:space="preserve">• </w:t>
      </w:r>
      <w:hyperlink r:id="rId32">
        <w:r>
          <w:rPr>
            <w:color w:val="24476A"/>
            <w:rFonts w:eastAsia="微软雅黑" w:ascii="Calibri" w:hAnsi="Calibri"/>
          </w:rPr>
          <w:t>S23 Crossref Retraction Watch</w:t>
        </w:r>
      </w:hyperlink>
      <w:r>
        <w:t xml:space="preserve"> 更新和撤稿数据说明。</w:t>
      </w:r>
    </w:p>
    <w:p>
      <w:pPr>
        <w:pStyle w:val="ListParagraph"/>
        <w:ind w:left="227" w:hanging="170"/>
      </w:pPr>
      <w:r>
        <w:t xml:space="preserve">• </w:t>
      </w:r>
      <w:hyperlink r:id="rId33">
        <w:r>
          <w:rPr>
            <w:color w:val="24476A"/>
            <w:rFonts w:eastAsia="微软雅黑" w:ascii="Calibri" w:hAnsi="Calibri"/>
          </w:rPr>
          <w:t>S24 Zotero 中文 CSL 样式</w:t>
        </w:r>
      </w:hyperlink>
      <w:r>
        <w:t xml:space="preserve"> 中文样式版本与许可核验来源。</w:t>
      </w:r>
    </w:p>
    <w:p>
      <w:pPr>
        <w:pStyle w:val="ListParagraph"/>
        <w:ind w:left="227" w:hanging="170"/>
      </w:pPr>
      <w:r>
        <w:t xml:space="preserve">• </w:t>
      </w:r>
      <w:hyperlink r:id="rId34">
        <w:r>
          <w:rPr>
            <w:color w:val="24476A"/>
            <w:rFonts w:eastAsia="微软雅黑" w:ascii="Calibri" w:hAnsi="Calibri"/>
          </w:rPr>
          <w:t>S25 CCF 学术评价目录说明</w:t>
        </w:r>
      </w:hyperlink>
      <w:r>
        <w:t xml:space="preserve"> 刊会目录适用范围说明。</w:t>
      </w:r>
    </w:p>
    <w:p>
      <w:pPr>
        <w:pStyle w:val="ListParagraph"/>
        <w:ind w:left="227" w:hanging="170"/>
      </w:pPr>
      <w:r>
        <w:t xml:space="preserve">• </w:t>
      </w:r>
      <w:hyperlink r:id="rId35">
        <w:r>
          <w:rPr>
            <w:color w:val="24476A"/>
            <w:rFonts w:eastAsia="微软雅黑" w:ascii="Calibri" w:hAnsi="Calibri"/>
          </w:rPr>
          <w:t>S26 GB/T 7714—2025 国家标准信息</w:t>
        </w:r>
      </w:hyperlink>
      <w:r>
        <w:t xml:space="preserve"> 2026 年 7 月 1 日实施并替代 2015 版本。</w:t>
      </w:r>
    </w:p>
    <w:p>
      <w:pPr>
        <w:pStyle w:val="Heading1"/>
      </w:pPr>
      <w:r>
        <w:t>18 首周执行清单</w:t>
      </w:r>
    </w:p>
    <w:p>
      <w:pPr>
        <w:pStyle w:val="ListParagraph"/>
        <w:ind w:left="283" w:hanging="283"/>
      </w:pPr>
      <w:r>
        <w:t>1. 确定试点学校和有资格参与测试的用户，建立学校档案及官方依据。</w:t>
      </w:r>
    </w:p>
    <w:p>
      <w:pPr>
        <w:pStyle w:val="ListParagraph"/>
        <w:ind w:left="283" w:hanging="283"/>
      </w:pPr>
      <w:r>
        <w:t>2. 分别验证校内网或学校 VPN 与 CARSI，记录机构证据和失效恢复过程。</w:t>
      </w:r>
    </w:p>
    <w:p>
      <w:pPr>
        <w:pStyle w:val="ListParagraph"/>
        <w:ind w:left="283" w:hanging="283"/>
      </w:pPr>
      <w:r>
        <w:t>3. 核验检索、题录、下载、本地解析和模型出站许可，填写三态能力表。</w:t>
      </w:r>
    </w:p>
    <w:p>
      <w:pPr>
        <w:pStyle w:val="ListParagraph"/>
        <w:ind w:left="283" w:hanging="283"/>
      </w:pPr>
      <w:r>
        <w:t>4. 收集 40 篇授权抽样文献，统计题录缺失、摘要可得、PDF 与 CAJ 及解析难点。</w:t>
      </w:r>
    </w:p>
    <w:p>
      <w:pPr>
        <w:pStyle w:val="ListParagraph"/>
        <w:ind w:left="283" w:hanging="283"/>
      </w:pPr>
      <w:r>
        <w:t>5. 冻结首批 MCP 契约、实体关系、错误码和任务状态，确定模型出站方式。</w:t>
      </w:r>
    </w:p>
    <w:p>
      <w:pPr>
        <w:pStyle w:val="ListParagraph"/>
        <w:ind w:left="283" w:hanging="283"/>
      </w:pPr>
      <w:r>
        <w:t>6. 建立验收样例与脱敏页面夹具，按 M0 条件评审实际可交付范围。</w:t>
      </w:r>
    </w:p>
    <w:sectPr w:rsidR="00FC693F" w:rsidRPr="0006063C" w:rsidSect="00034616">
      <w:footerReference w:type="default" r:id="rId36"/>
      <w:pgSz w:w="11906" w:h="16838"/>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sz w:val="16"/>
      </w:rPr>
      <w:t xml:space="preserve">第 </w:t>
    </w:r>
    <w:fldSimple w:instr="PAGE"/>
    <w:r>
      <w:rPr>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pPr>
    <w:rPr>
      <w:rFonts w:ascii="Calibri" w:hAnsi="Calibri" w:cs="Calibri" w:eastAsia="微软雅黑"/>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cs="Calibr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Calibri" w:hAnsi="Calibri" w:cs="Calibri" w:eastAsia="微软雅黑"/>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alibri" w:hAnsi="Calibri" w:cs="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76" w:lineRule="auto" w:before="0"/>
      <w:contextualSpacing/>
    </w:pPr>
    <w:rPr>
      <w:rFonts w:ascii="Calibri" w:hAnsi="Calibri" w:cs="Calibri"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60" w:after="100"/>
    </w:pPr>
    <w:rPr>
      <w:rFonts w:ascii="Calibri" w:hAnsi="Calibri" w:cs="Calibri" w:eastAsia="微软雅黑"/>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s="Calibri" w:eastAsia="微软雅黑"/>
      <w:b w:val="0"/>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brary.fudan.edu.cn/medical/e8/30/c42968a518192/page.htm" TargetMode="External"/><Relationship Id="rId10" Type="http://schemas.openxmlformats.org/officeDocument/2006/relationships/hyperlink" Target="https://library.fudan.edu.cn/118/list.htm" TargetMode="External"/><Relationship Id="rId11" Type="http://schemas.openxmlformats.org/officeDocument/2006/relationships/hyperlink" Target="https://lib.sufe.edu.cn/8300/list.htm" TargetMode="External"/><Relationship Id="rId12" Type="http://schemas.openxmlformats.org/officeDocument/2006/relationships/hyperlink" Target="https://idp.hust.edu.cn/idp/" TargetMode="External"/><Relationship Id="rId13" Type="http://schemas.openxmlformats.org/officeDocument/2006/relationships/hyperlink" Target="https://library.ujn.edu.cn/sjkdh/CARSIzy.htm" TargetMode="External"/><Relationship Id="rId14" Type="http://schemas.openxmlformats.org/officeDocument/2006/relationships/hyperlink" Target="https://lib.cufe.edu.cn/engine2/d/8606345/723060/0?t=3086516" TargetMode="External"/><Relationship Id="rId15" Type="http://schemas.openxmlformats.org/officeDocument/2006/relationships/hyperlink" Target="https://library.fudan.edu.cn/f3/df/c42900a521183/page.htm" TargetMode="External"/><Relationship Id="rId16" Type="http://schemas.openxmlformats.org/officeDocument/2006/relationships/hyperlink" Target="https://library.ujn.edu.cn/info/1020/5124.htm" TargetMode="External"/><Relationship Id="rId17" Type="http://schemas.openxmlformats.org/officeDocument/2006/relationships/hyperlink" Target="https://https-openx-cnki-net-443.webvpn.ynu.edu.cn/docs/guide/jssdk_ticket.html" TargetMode="External"/><Relationship Id="rId18" Type="http://schemas.openxmlformats.org/officeDocument/2006/relationships/hyperlink" Target="https://github.com/modelcontextprotocol/python-sdk" TargetMode="External"/><Relationship Id="rId19" Type="http://schemas.openxmlformats.org/officeDocument/2006/relationships/hyperlink" Target="https://github.com/microsoft/playwright" TargetMode="External"/><Relationship Id="rId20" Type="http://schemas.openxmlformats.org/officeDocument/2006/relationships/hyperlink" Target="https://playwright.dev/python/docs/auth" TargetMode="External"/><Relationship Id="rId21" Type="http://schemas.openxmlformats.org/officeDocument/2006/relationships/hyperlink" Target="https://github.com/l0o0/jasminum" TargetMode="External"/><Relationship Id="rId22" Type="http://schemas.openxmlformats.org/officeDocument/2006/relationships/hyperlink" Target="https://github.com/54yyyu/zotero-mcp" TargetMode="External"/><Relationship Id="rId23" Type="http://schemas.openxmlformats.org/officeDocument/2006/relationships/hyperlink" Target="https://github.com/opendatalab/MinerU" TargetMode="External"/><Relationship Id="rId24" Type="http://schemas.openxmlformats.org/officeDocument/2006/relationships/hyperlink" Target="https://github.com/opendatalab/MinerU/blob/master/LICENSE.md" TargetMode="External"/><Relationship Id="rId25" Type="http://schemas.openxmlformats.org/officeDocument/2006/relationships/hyperlink" Target="https://github.com/openags/paper-search-mcp" TargetMode="External"/><Relationship Id="rId26" Type="http://schemas.openxmlformats.org/officeDocument/2006/relationships/hyperlink" Target="https://github.com/Future-House/paper-qa" TargetMode="External"/><Relationship Id="rId27" Type="http://schemas.openxmlformats.org/officeDocument/2006/relationships/hyperlink" Target="https://github.com/grobidOrg/grobid" TargetMode="External"/><Relationship Id="rId28" Type="http://schemas.openxmlformats.org/officeDocument/2006/relationships/hyperlink" Target="https://github.com/cookjohn/cnki-skills" TargetMode="External"/><Relationship Id="rId29" Type="http://schemas.openxmlformats.org/officeDocument/2006/relationships/hyperlink" Target="https://github.com/SepineTam/cnki-mcp" TargetMode="External"/><Relationship Id="rId30" Type="http://schemas.openxmlformats.org/officeDocument/2006/relationships/hyperlink" Target="https://github.com/wuruiqi/cnki-mcp" TargetMode="External"/><Relationship Id="rId31" Type="http://schemas.openxmlformats.org/officeDocument/2006/relationships/hyperlink" Target="https://www.crossref.org/documentation/retrieve-metadata/rest-api/" TargetMode="External"/><Relationship Id="rId32" Type="http://schemas.openxmlformats.org/officeDocument/2006/relationships/hyperlink" Target="https://www.crossref.org/documentation/retrieve-metadata/retraction-watch/" TargetMode="External"/><Relationship Id="rId33" Type="http://schemas.openxmlformats.org/officeDocument/2006/relationships/hyperlink" Target="https://github.com/zotero-chinese/styles" TargetMode="External"/><Relationship Id="rId34" Type="http://schemas.openxmlformats.org/officeDocument/2006/relationships/hyperlink" Target="https://www.ccf.org.cn/Academic_Evaluation/By_category/" TargetMode="External"/><Relationship Id="rId35" Type="http://schemas.openxmlformats.org/officeDocument/2006/relationships/hyperlink" Target="https://std.samr.gov.cn/gb/search/gbDetailed?id=w3O2P1Odh2Q%3D&amp;mode=p"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面向毕业设计的学术文献 MCP 项目实施规格</dc:title>
  <dc:subject>校内网 学校 VPN 与 CARSI 接入以及文献研究流程</dc:subject>
  <dc:creator/>
  <cp:keywords>MCP CNKI CARSI 文献检索 实施规格</cp:keywords>
  <dc:description/>
  <cp:lastModifiedBy/>
  <cp:revision>1</cp:revision>
  <dcterms:created xsi:type="dcterms:W3CDTF">2013-12-23T23:15:00Z</dcterms:created>
  <dcterms:modified xsi:type="dcterms:W3CDTF">2013-12-23T23:15:00Z</dcterms:modified>
  <cp:category/>
</cp:coreProperties>
</file>