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Quarterly Continuous Risk Monitoring Auditor Runbook</w:t>
      </w:r>
    </w:p>
    <w:p>
      <w:r>
        <w:rPr>
          <w:color w:val="5D6973"/>
          <w:sz w:val="19"/>
        </w:rPr>
        <w:t>Proposed platform and regional process  |  Version 0.1  |  29 September 2026</w:t>
      </w:r>
    </w:p>
    <w:p>
      <w:r>
        <w:t>Use this runbook to complete quarterly CRM for a platform, from reviewing the common evidence through regional assessment, AE rating updates and final review. Each platform has a global view followed by regional views. The pre-populated analysis is a starting point for auditor judgement, not an approved conclusion. This process becomes operational only when Methodology confirms the open decisions on ratings, ownership, review and retention.</w:t>
      </w:r>
    </w:p>
    <w:tbl>
      <w:tblPr>
        <w:tblW w:type="auto" w:w="0"/>
        <w:tblLayout w:type="fixed"/>
        <w:tblLook w:firstColumn="1" w:firstRow="1" w:lastColumn="0" w:lastRow="0" w:noHBand="0" w:noVBand="1" w:val="04A0"/>
      </w:tblPr>
      <w:tblGrid>
        <w:gridCol w:w="10080"/>
      </w:tblGrid>
      <w:tr>
        <w:tc>
          <w:tcPr>
            <w:tcW w:type="dxa" w:w="10080"/>
            <w:shd w:fill="EAF2F3"/>
          </w:tcPr>
          <w:p>
            <w:pPr>
              <w:spacing w:after="0"/>
            </w:pPr>
            <w:r>
              <w:rPr>
                <w:b/>
                <w:color w:val="196972"/>
                <w:sz w:val="19"/>
              </w:rPr>
              <w:t xml:space="preserve">Core recording rule  </w:t>
            </w:r>
            <w:r>
              <w:rPr>
                <w:sz w:val="19"/>
              </w:rPr>
              <w:t>Record each auditable entity (AE) risk rating once in the view for its tagged region, regardless of which auditable unit (AU) contains it. The global view summarizes cross-region implications and rating movement; it does not repeat the regional AE ratings. A genuinely global AE requires an explicit global exception record and owner.</w:t>
            </w:r>
          </w:p>
        </w:tc>
      </w:tr>
    </w:tbl>
    <w:p>
      <w:pPr>
        <w:spacing w:after="0"/>
      </w:pPr>
    </w:p>
    <w:p>
      <w:pPr>
        <w:pStyle w:val="Heading1"/>
        <w:keepNext/>
      </w:pPr>
      <w:r>
        <w:t>At a glance</w:t>
      </w:r>
    </w:p>
    <w:tbl>
      <w:tblPr>
        <w:tblW w:type="auto" w:w="0"/>
        <w:jc w:val="center"/>
        <w:tblLayout w:type="fixed"/>
        <w:tblLook w:firstColumn="1" w:firstRow="1" w:lastColumn="0" w:lastRow="0" w:noHBand="0" w:noVBand="1" w:val="04A0"/>
      </w:tblPr>
      <w:tblGrid>
        <w:gridCol w:w="4968"/>
        <w:gridCol w:w="5112"/>
      </w:tblGrid>
      <w:tr>
        <w:trPr>
          <w:cantSplit/>
          <w:tblHeader/>
        </w:trPr>
        <w:tc>
          <w:tcPr>
            <w:tcW w:type="dxa" w:w="5040"/>
            <w:vAlign w:val="center"/>
            <w:shd w:fill="1B2F42"/>
            <w:tcBorders>
              <w:bottom w:val="single" w:sz="4" w:color="D4DCE0"/>
            </w:tcBorders>
          </w:tcPr>
          <w:p>
            <w:r>
              <w:rPr>
                <w:b/>
                <w:color w:val="FFFFFF"/>
                <w:sz w:val="18"/>
              </w:rPr>
              <w:t>Do</w:t>
            </w:r>
          </w:p>
        </w:tc>
        <w:tc>
          <w:tcPr>
            <w:tcW w:type="dxa" w:w="5040"/>
            <w:vAlign w:val="center"/>
            <w:shd w:fill="1B2F42"/>
            <w:tcBorders>
              <w:bottom w:val="single" w:sz="4" w:color="D4DCE0"/>
            </w:tcBorders>
          </w:tcPr>
          <w:p>
            <w:r>
              <w:rPr>
                <w:b/>
                <w:color w:val="FFFFFF"/>
                <w:sz w:val="18"/>
              </w:rPr>
              <w:t>Why</w:t>
            </w:r>
          </w:p>
        </w:tc>
      </w:tr>
      <w:tr>
        <w:trPr>
          <w:cantSplit/>
        </w:trPr>
        <w:tc>
          <w:tcPr>
            <w:tcW w:type="dxa" w:w="4968"/>
            <w:vAlign w:val="center"/>
            <w:shd w:fill="F3F6F7"/>
            <w:tcBorders>
              <w:bottom w:val="single" w:sz="4" w:color="D4DCE0"/>
            </w:tcBorders>
          </w:tcPr>
          <w:p>
            <w:pPr>
              <w:spacing w:after="0" w:before="0"/>
            </w:pPr>
            <w:r>
              <w:rPr>
                <w:color w:val="1B2F42"/>
                <w:sz w:val="17"/>
              </w:rPr>
              <w:t>Work from the global platform view into the relevant regional views.</w:t>
            </w:r>
          </w:p>
        </w:tc>
        <w:tc>
          <w:tcPr>
            <w:tcW w:type="dxa" w:w="5112"/>
            <w:vAlign w:val="center"/>
            <w:shd w:fill="F3F6F7"/>
            <w:tcBorders>
              <w:bottom w:val="single" w:sz="4" w:color="D4DCE0"/>
            </w:tcBorders>
          </w:tcPr>
          <w:p>
            <w:pPr>
              <w:spacing w:after="0" w:before="0"/>
            </w:pPr>
            <w:r>
              <w:rPr>
                <w:color w:val="1B2F42"/>
                <w:sz w:val="17"/>
              </w:rPr>
              <w:t>Use the common baseline, then assess the specific regional exposure.</w:t>
            </w:r>
          </w:p>
        </w:tc>
      </w:tr>
      <w:tr>
        <w:trPr>
          <w:cantSplit/>
        </w:trPr>
        <w:tc>
          <w:tcPr>
            <w:tcW w:type="dxa" w:w="4968"/>
            <w:vAlign w:val="center"/>
            <w:tcBorders>
              <w:bottom w:val="single" w:sz="4" w:color="D4DCE0"/>
            </w:tcBorders>
          </w:tcPr>
          <w:p>
            <w:pPr>
              <w:spacing w:after="0" w:before="0"/>
            </w:pPr>
            <w:r>
              <w:rPr>
                <w:color w:val="1B2F42"/>
                <w:sz w:val="17"/>
              </w:rPr>
              <w:t>Reconcile the AE inventory before rating any AE.</w:t>
            </w:r>
          </w:p>
        </w:tc>
        <w:tc>
          <w:tcPr>
            <w:tcW w:type="dxa" w:w="5112"/>
            <w:vAlign w:val="center"/>
            <w:tcBorders>
              <w:bottom w:val="single" w:sz="4" w:color="D4DCE0"/>
            </w:tcBorders>
          </w:tcPr>
          <w:p>
            <w:pPr>
              <w:spacing w:after="0" w:before="0"/>
            </w:pPr>
            <w:r>
              <w:rPr>
                <w:color w:val="1B2F42"/>
                <w:sz w:val="17"/>
              </w:rPr>
              <w:t>An AU may contain AEs in several regions; AU boundaries are not the filing location.</w:t>
            </w:r>
          </w:p>
        </w:tc>
      </w:tr>
      <w:tr>
        <w:trPr>
          <w:cantSplit/>
        </w:trPr>
        <w:tc>
          <w:tcPr>
            <w:tcW w:type="dxa" w:w="4968"/>
            <w:vAlign w:val="center"/>
            <w:shd w:fill="F3F6F7"/>
            <w:tcBorders>
              <w:bottom w:val="single" w:sz="4" w:color="D4DCE0"/>
            </w:tcBorders>
          </w:tcPr>
          <w:p>
            <w:pPr>
              <w:spacing w:after="0" w:before="0"/>
            </w:pPr>
            <w:r>
              <w:rPr>
                <w:color w:val="1B2F42"/>
                <w:sz w:val="17"/>
              </w:rPr>
              <w:t>Challenge the pre-populated analysis and seek targeted management input.</w:t>
            </w:r>
          </w:p>
        </w:tc>
        <w:tc>
          <w:tcPr>
            <w:tcW w:type="dxa" w:w="5112"/>
            <w:vAlign w:val="center"/>
            <w:shd w:fill="F3F6F7"/>
            <w:tcBorders>
              <w:bottom w:val="single" w:sz="4" w:color="D4DCE0"/>
            </w:tcBorders>
          </w:tcPr>
          <w:p>
            <w:pPr>
              <w:spacing w:after="0" w:before="0"/>
            </w:pPr>
            <w:r>
              <w:rPr>
                <w:color w:val="1B2F42"/>
                <w:sz w:val="17"/>
              </w:rPr>
              <w:t>Missing data or an AI summary cannot establish that risk is unchanged.</w:t>
            </w:r>
          </w:p>
        </w:tc>
      </w:tr>
      <w:tr>
        <w:trPr>
          <w:cantSplit/>
        </w:trPr>
        <w:tc>
          <w:tcPr>
            <w:tcW w:type="dxa" w:w="4968"/>
            <w:vAlign w:val="center"/>
            <w:tcBorders>
              <w:bottom w:val="single" w:sz="4" w:color="D4DCE0"/>
            </w:tcBorders>
          </w:tcPr>
          <w:p>
            <w:pPr>
              <w:spacing w:after="0" w:before="0"/>
            </w:pPr>
            <w:r>
              <w:rPr>
                <w:color w:val="1B2F42"/>
                <w:sz w:val="17"/>
              </w:rPr>
              <w:t>Update each AE once and link evidence and rationale.</w:t>
            </w:r>
          </w:p>
        </w:tc>
        <w:tc>
          <w:tcPr>
            <w:tcW w:type="dxa" w:w="5112"/>
            <w:vAlign w:val="center"/>
            <w:tcBorders>
              <w:bottom w:val="single" w:sz="4" w:color="D4DCE0"/>
            </w:tcBorders>
          </w:tcPr>
          <w:p>
            <w:pPr>
              <w:spacing w:after="0" w:before="0"/>
            </w:pPr>
            <w:r>
              <w:rPr>
                <w:color w:val="1B2F42"/>
                <w:sz w:val="17"/>
              </w:rPr>
              <w:t>Avoid conflicting ratings across the global and regional views.</w:t>
            </w:r>
          </w:p>
        </w:tc>
      </w:tr>
    </w:tbl>
    <w:p>
      <w:pPr>
        <w:spacing w:after="0"/>
      </w:pPr>
    </w:p>
    <w:p>
      <w:pPr>
        <w:pStyle w:val="Heading1"/>
        <w:keepNext/>
      </w:pPr>
      <w:r>
        <w:t>Inputs and completed outputs</w:t>
      </w: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5040"/>
            <w:vAlign w:val="center"/>
            <w:shd w:fill="1B2F42"/>
            <w:tcBorders>
              <w:bottom w:val="single" w:sz="4" w:color="D4DCE0"/>
            </w:tcBorders>
          </w:tcPr>
          <w:p>
            <w:r>
              <w:rPr>
                <w:b/>
                <w:color w:val="FFFFFF"/>
                <w:sz w:val="18"/>
              </w:rPr>
              <w:t>Inputs at the start</w:t>
            </w:r>
          </w:p>
        </w:tc>
        <w:tc>
          <w:tcPr>
            <w:tcW w:type="dxa" w:w="5040"/>
            <w:vAlign w:val="center"/>
            <w:shd w:fill="1B2F42"/>
            <w:tcBorders>
              <w:bottom w:val="single" w:sz="4" w:color="D4DCE0"/>
            </w:tcBorders>
          </w:tcPr>
          <w:p>
            <w:r>
              <w:rPr>
                <w:b/>
                <w:color w:val="FFFFFF"/>
                <w:sz w:val="18"/>
              </w:rPr>
              <w:t>Outputs at close</w:t>
            </w:r>
          </w:p>
        </w:tc>
      </w:tr>
      <w:tr>
        <w:trPr>
          <w:cantSplit/>
        </w:trPr>
        <w:tc>
          <w:tcPr>
            <w:tcW w:type="dxa" w:w="5040"/>
            <w:vAlign w:val="center"/>
            <w:shd w:fill="F3F6F7"/>
            <w:tcBorders>
              <w:bottom w:val="single" w:sz="4" w:color="D4DCE0"/>
            </w:tcBorders>
          </w:tcPr>
          <w:p>
            <w:pPr>
              <w:spacing w:after="0" w:before="0"/>
            </w:pPr>
            <w:r>
              <w:rPr>
                <w:color w:val="1B2F42"/>
                <w:sz w:val="17"/>
              </w:rPr>
              <w:t>Current platform pack and quarter; global and applicable regional views; source appendix and refresh dates.</w:t>
            </w:r>
          </w:p>
        </w:tc>
        <w:tc>
          <w:tcPr>
            <w:tcW w:type="dxa" w:w="5040"/>
            <w:vAlign w:val="center"/>
            <w:shd w:fill="F3F6F7"/>
            <w:tcBorders>
              <w:bottom w:val="single" w:sz="4" w:color="D4DCE0"/>
            </w:tcBorders>
          </w:tcPr>
          <w:p>
            <w:pPr>
              <w:spacing w:after="0" w:before="0"/>
            </w:pPr>
            <w:r>
              <w:rPr>
                <w:color w:val="1B2F42"/>
                <w:sz w:val="17"/>
              </w:rPr>
              <w:t>Reviewed global narrative and regional conclusions, with unsupported statements corrected.</w:t>
            </w:r>
          </w:p>
        </w:tc>
      </w:tr>
      <w:tr>
        <w:trPr>
          <w:cantSplit/>
        </w:trPr>
        <w:tc>
          <w:tcPr>
            <w:tcW w:type="dxa" w:w="5040"/>
            <w:vAlign w:val="center"/>
            <w:tcBorders>
              <w:bottom w:val="single" w:sz="4" w:color="D4DCE0"/>
            </w:tcBorders>
          </w:tcPr>
          <w:p>
            <w:pPr>
              <w:spacing w:after="0" w:before="0"/>
            </w:pPr>
            <w:r>
              <w:rPr>
                <w:color w:val="1B2F42"/>
                <w:sz w:val="17"/>
              </w:rPr>
              <w:t>Authoritative AE inventory with AE ID, region, platform, related AU and prior rating; approved rating criteria.</w:t>
            </w:r>
          </w:p>
        </w:tc>
        <w:tc>
          <w:tcPr>
            <w:tcW w:type="dxa" w:w="5040"/>
            <w:vAlign w:val="center"/>
            <w:tcBorders>
              <w:bottom w:val="single" w:sz="4" w:color="D4DCE0"/>
            </w:tcBorders>
          </w:tcPr>
          <w:p>
            <w:pPr>
              <w:spacing w:after="0" w:before="0"/>
            </w:pPr>
            <w:r>
              <w:rPr>
                <w:color w:val="1B2F42"/>
                <w:sz w:val="17"/>
              </w:rPr>
              <w:t>One current-quarter AE rating record for each in-scope AE, with owner, rationale and evidence.</w:t>
            </w:r>
          </w:p>
        </w:tc>
      </w:tr>
      <w:tr>
        <w:trPr>
          <w:cantSplit/>
        </w:trPr>
        <w:tc>
          <w:tcPr>
            <w:tcW w:type="dxa" w:w="5040"/>
            <w:vAlign w:val="center"/>
            <w:shd w:fill="F3F6F7"/>
            <w:tcBorders>
              <w:bottom w:val="single" w:sz="4" w:color="D4DCE0"/>
            </w:tcBorders>
          </w:tcPr>
          <w:p>
            <w:pPr>
              <w:spacing w:after="0" w:before="0"/>
            </w:pPr>
            <w:r>
              <w:rPr>
                <w:color w:val="1B2F42"/>
                <w:sz w:val="17"/>
              </w:rPr>
              <w:t>Prior CRM, audit results, management and risk information, and prior open actions.</w:t>
            </w:r>
          </w:p>
        </w:tc>
        <w:tc>
          <w:tcPr>
            <w:tcW w:type="dxa" w:w="5040"/>
            <w:vAlign w:val="center"/>
            <w:shd w:fill="F3F6F7"/>
            <w:tcBorders>
              <w:bottom w:val="single" w:sz="4" w:color="D4DCE0"/>
            </w:tcBorders>
          </w:tcPr>
          <w:p>
            <w:pPr>
              <w:spacing w:after="0" w:before="0"/>
            </w:pPr>
            <w:r>
              <w:rPr>
                <w:color w:val="1B2F42"/>
                <w:sz w:val="17"/>
              </w:rPr>
              <w:t>Resolved exceptions, contribution confirmations, review record and retained evidence links.</w:t>
            </w:r>
          </w:p>
        </w:tc>
      </w:tr>
    </w:tbl>
    <w:p>
      <w:pPr>
        <w:spacing w:after="0"/>
      </w:pPr>
    </w:p>
    <w:p>
      <w:pPr>
        <w:pStyle w:val="Heading1"/>
        <w:keepNext/>
      </w:pPr>
      <w:r>
        <w:t>Who does what</w:t>
      </w:r>
    </w:p>
    <w:p>
      <w:r>
        <w:t>These roles are proposed for the redesigned process. The final names, review levels and sign-off authority must be set by Methodology and the audit leadership before release.</w:t>
      </w:r>
    </w:p>
    <w:tbl>
      <w:tblPr>
        <w:tblW w:type="auto" w:w="0"/>
        <w:jc w:val="center"/>
        <w:tblLayout w:type="fixed"/>
        <w:tblLook w:firstColumn="1" w:firstRow="1" w:lastColumn="0" w:lastRow="0" w:noHBand="0" w:noVBand="1" w:val="04A0"/>
      </w:tblPr>
      <w:tblGrid>
        <w:gridCol w:w="2232"/>
        <w:gridCol w:w="7848"/>
      </w:tblGrid>
      <w:tr>
        <w:trPr>
          <w:cantSplit/>
          <w:tblHeader/>
        </w:trPr>
        <w:tc>
          <w:tcPr>
            <w:tcW w:type="dxa" w:w="5040"/>
            <w:vAlign w:val="center"/>
            <w:shd w:fill="1B2F42"/>
            <w:tcBorders>
              <w:bottom w:val="single" w:sz="4" w:color="D4DCE0"/>
            </w:tcBorders>
          </w:tcPr>
          <w:p>
            <w:r>
              <w:rPr>
                <w:b/>
                <w:color w:val="FFFFFF"/>
                <w:sz w:val="18"/>
              </w:rPr>
              <w:t>Role</w:t>
            </w:r>
          </w:p>
        </w:tc>
        <w:tc>
          <w:tcPr>
            <w:tcW w:type="dxa" w:w="5040"/>
            <w:vAlign w:val="center"/>
            <w:shd w:fill="1B2F42"/>
            <w:tcBorders>
              <w:bottom w:val="single" w:sz="4" w:color="D4DCE0"/>
            </w:tcBorders>
          </w:tcPr>
          <w:p>
            <w:r>
              <w:rPr>
                <w:b/>
                <w:color w:val="FFFFFF"/>
                <w:sz w:val="18"/>
              </w:rPr>
              <w:t>Accountability in the proposed workflow</w:t>
            </w:r>
          </w:p>
        </w:tc>
      </w:tr>
      <w:tr>
        <w:trPr>
          <w:cantSplit/>
        </w:trPr>
        <w:tc>
          <w:tcPr>
            <w:tcW w:type="dxa" w:w="2232"/>
            <w:vAlign w:val="center"/>
            <w:shd w:fill="F3F6F7"/>
            <w:tcBorders>
              <w:bottom w:val="single" w:sz="4" w:color="D4DCE0"/>
            </w:tcBorders>
          </w:tcPr>
          <w:p>
            <w:pPr>
              <w:spacing w:after="0" w:before="0"/>
            </w:pPr>
            <w:r>
              <w:rPr>
                <w:color w:val="1B2F42"/>
                <w:sz w:val="17"/>
              </w:rPr>
              <w:t>Platform CRM owner</w:t>
            </w:r>
          </w:p>
        </w:tc>
        <w:tc>
          <w:tcPr>
            <w:tcW w:type="dxa" w:w="7848"/>
            <w:vAlign w:val="center"/>
            <w:shd w:fill="F3F6F7"/>
            <w:tcBorders>
              <w:bottom w:val="single" w:sz="4" w:color="D4DCE0"/>
            </w:tcBorders>
          </w:tcPr>
          <w:p>
            <w:pPr>
              <w:spacing w:after="0" w:before="0"/>
            </w:pPr>
            <w:r>
              <w:rPr>
                <w:color w:val="1B2F42"/>
                <w:sz w:val="17"/>
              </w:rPr>
              <w:t>Coordinates the pack, scope, hand-offs, reconciliation and global conclusion; resolves conflicting inputs and submits the final pack after review.</w:t>
            </w:r>
          </w:p>
        </w:tc>
      </w:tr>
      <w:tr>
        <w:trPr>
          <w:cantSplit/>
        </w:trPr>
        <w:tc>
          <w:tcPr>
            <w:tcW w:type="dxa" w:w="2232"/>
            <w:vAlign w:val="center"/>
            <w:tcBorders>
              <w:bottom w:val="single" w:sz="4" w:color="D4DCE0"/>
            </w:tcBorders>
          </w:tcPr>
          <w:p>
            <w:pPr>
              <w:spacing w:after="0" w:before="0"/>
            </w:pPr>
            <w:r>
              <w:rPr>
                <w:color w:val="1B2F42"/>
                <w:sz w:val="17"/>
              </w:rPr>
              <w:t>Regional view lead</w:t>
            </w:r>
          </w:p>
        </w:tc>
        <w:tc>
          <w:tcPr>
            <w:tcW w:type="dxa" w:w="7848"/>
            <w:vAlign w:val="center"/>
            <w:tcBorders>
              <w:bottom w:val="single" w:sz="4" w:color="D4DCE0"/>
            </w:tcBorders>
          </w:tcPr>
          <w:p>
            <w:pPr>
              <w:spacing w:after="0" w:before="0"/>
            </w:pPr>
            <w:r>
              <w:rPr>
                <w:color w:val="1B2F42"/>
                <w:sz w:val="17"/>
              </w:rPr>
              <w:t>Challenges regional data and narrative, coordinates local management discussion and checks that every AE tagged to the region is routed to an owner.</w:t>
            </w:r>
          </w:p>
        </w:tc>
      </w:tr>
      <w:tr>
        <w:trPr>
          <w:cantSplit/>
        </w:trPr>
        <w:tc>
          <w:tcPr>
            <w:tcW w:type="dxa" w:w="2232"/>
            <w:vAlign w:val="center"/>
            <w:shd w:fill="F3F6F7"/>
            <w:tcBorders>
              <w:bottom w:val="single" w:sz="4" w:color="D4DCE0"/>
            </w:tcBorders>
          </w:tcPr>
          <w:p>
            <w:pPr>
              <w:spacing w:after="0" w:before="0"/>
            </w:pPr>
            <w:r>
              <w:rPr>
                <w:color w:val="1B2F42"/>
                <w:sz w:val="17"/>
              </w:rPr>
              <w:t>AE assessment owner</w:t>
            </w:r>
          </w:p>
        </w:tc>
        <w:tc>
          <w:tcPr>
            <w:tcW w:type="dxa" w:w="7848"/>
            <w:vAlign w:val="center"/>
            <w:shd w:fill="F3F6F7"/>
            <w:tcBorders>
              <w:bottom w:val="single" w:sz="4" w:color="D4DCE0"/>
            </w:tcBorders>
          </w:tcPr>
          <w:p>
            <w:pPr>
              <w:spacing w:after="0" w:before="0"/>
            </w:pPr>
            <w:r>
              <w:rPr>
                <w:color w:val="1B2F42"/>
                <w:sz w:val="17"/>
              </w:rPr>
              <w:t>Usually the assigned coverage lead for the AE, including a cross-region AU lead where applicable; applies approved criteria and records the AE rating and rationale once.</w:t>
            </w:r>
          </w:p>
        </w:tc>
      </w:tr>
      <w:tr>
        <w:trPr>
          <w:cantSplit/>
        </w:trPr>
        <w:tc>
          <w:tcPr>
            <w:tcW w:type="dxa" w:w="2232"/>
            <w:vAlign w:val="center"/>
            <w:tcBorders>
              <w:bottom w:val="single" w:sz="4" w:color="D4DCE0"/>
            </w:tcBorders>
          </w:tcPr>
          <w:p>
            <w:pPr>
              <w:spacing w:after="0" w:before="0"/>
            </w:pPr>
            <w:r>
              <w:rPr>
                <w:color w:val="1B2F42"/>
                <w:sz w:val="17"/>
              </w:rPr>
              <w:t>Cross-platform specialist</w:t>
            </w:r>
          </w:p>
        </w:tc>
        <w:tc>
          <w:tcPr>
            <w:tcW w:type="dxa" w:w="7848"/>
            <w:vAlign w:val="center"/>
            <w:tcBorders>
              <w:bottom w:val="single" w:sz="4" w:color="D4DCE0"/>
            </w:tcBorders>
          </w:tcPr>
          <w:p>
            <w:pPr>
              <w:spacing w:after="0" w:before="0"/>
            </w:pPr>
            <w:r>
              <w:rPr>
                <w:color w:val="1B2F42"/>
                <w:sz w:val="17"/>
              </w:rPr>
              <w:t>Contributes the relevant risk perspective to each platform/region in scope; confirms its input. It does not create a parallel mandatory AU CRM document.</w:t>
            </w:r>
          </w:p>
        </w:tc>
      </w:tr>
      <w:tr>
        <w:trPr>
          <w:cantSplit/>
        </w:trPr>
        <w:tc>
          <w:tcPr>
            <w:tcW w:type="dxa" w:w="2232"/>
            <w:vAlign w:val="center"/>
            <w:shd w:fill="F3F6F7"/>
            <w:tcBorders>
              <w:bottom w:val="single" w:sz="4" w:color="D4DCE0"/>
            </w:tcBorders>
          </w:tcPr>
          <w:p>
            <w:pPr>
              <w:spacing w:after="0" w:before="0"/>
            </w:pPr>
            <w:r>
              <w:rPr>
                <w:color w:val="1B2F42"/>
                <w:sz w:val="17"/>
              </w:rPr>
              <w:t>Designated reviewer</w:t>
            </w:r>
          </w:p>
        </w:tc>
        <w:tc>
          <w:tcPr>
            <w:tcW w:type="dxa" w:w="7848"/>
            <w:vAlign w:val="center"/>
            <w:shd w:fill="F3F6F7"/>
            <w:tcBorders>
              <w:bottom w:val="single" w:sz="4" w:color="D4DCE0"/>
            </w:tcBorders>
          </w:tcPr>
          <w:p>
            <w:pPr>
              <w:spacing w:after="0" w:before="0"/>
            </w:pPr>
            <w:r>
              <w:rPr>
                <w:color w:val="1B2F42"/>
                <w:sz w:val="17"/>
              </w:rPr>
              <w:t>Challenges coverage, material conclusions, rating changes, evidence and unresolved exceptions before the authorized sign-off.</w:t>
            </w:r>
          </w:p>
        </w:tc>
      </w:tr>
    </w:tbl>
    <w:p>
      <w:pPr>
        <w:spacing w:after="0"/>
      </w:pPr>
    </w:p>
    <w:p>
      <w:pPr>
        <w:pStyle w:val="Heading1"/>
        <w:keepNext/>
      </w:pPr>
      <w:r>
        <w:t>Quarterly procedure</w:t>
      </w:r>
    </w:p>
    <w:p>
      <w:pPr>
        <w:pStyle w:val="Heading2"/>
        <w:keepNext/>
      </w:pPr>
      <w:r>
        <w:t>1  Set scope and route work</w:t>
      </w:r>
    </w:p>
    <w:p>
      <w:pPr>
        <w:pStyle w:val="ListBullet"/>
      </w:pPr>
      <w:r>
        <w:t>Confirm the quarter, platform, required regional views, pack version and the person coordinating each view.</w:t>
      </w:r>
    </w:p>
    <w:p>
      <w:pPr>
        <w:pStyle w:val="ListBullet"/>
      </w:pPr>
      <w:r>
        <w:t>Reconcile the current AE inventory to the pack by unique AE ID. Assign each AE to its tagged region and a single assessment owner. Retain the related AU as a traceability field, even where that AU spans regions.</w:t>
      </w:r>
    </w:p>
    <w:p>
      <w:pPr>
        <w:pStyle w:val="ListBullet"/>
      </w:pPr>
      <w:r>
        <w:t>Identify cross-platform teams whose existing AU coverage intersects this platform. Agree their section, regional scope, contributor and hand-off with the platform owner.</w:t>
      </w:r>
    </w:p>
    <w:p>
      <w:pPr>
        <w:pStyle w:val="ListBullet"/>
      </w:pPr>
      <w:r>
        <w:t>Flag missing, duplicate, stale or conflicting AE tags before analysis. Do not silently omit an AE or create a second rating to work around a mapping issue.</w:t>
      </w:r>
    </w:p>
    <w:p>
      <w:r>
        <w:rPr>
          <w:b/>
        </w:rPr>
        <w:t xml:space="preserve">Complete when  </w:t>
      </w:r>
      <w:r>
        <w:t>The scope list covers every in-scope AE once and names all required contributors and views.</w:t>
      </w:r>
    </w:p>
    <w:p>
      <w:pPr>
        <w:pStyle w:val="Heading2"/>
        <w:keepNext/>
      </w:pPr>
      <w:r>
        <w:t>2  Validate the common evidence</w:t>
      </w:r>
    </w:p>
    <w:p>
      <w:pPr>
        <w:pStyle w:val="ListBullet"/>
      </w:pPr>
      <w:r>
        <w:t>Read the global pre-populated analysis first, then the regional subset. Check the quarter, as-of dates, source boundaries, platform and region mapping, and obvious gaps or duplicates.</w:t>
      </w:r>
    </w:p>
    <w:p>
      <w:pPr>
        <w:pStyle w:val="ListBullet"/>
      </w:pPr>
      <w:r>
        <w:t>Trace material summary statements to the source record or appendix logic. Sample enough underlying records to test material movements and investigate mismatches; record what could not be verified.</w:t>
      </w:r>
    </w:p>
    <w:p>
      <w:pPr>
        <w:pStyle w:val="ListBullet"/>
      </w:pPr>
      <w:r>
        <w:t>Use the source guide below. Availability varies by platform and region. A blank feed is an evidence gap until its scope and operation are confirmed.</w:t>
      </w:r>
    </w:p>
    <w:p>
      <w:r>
        <w:rPr>
          <w:b/>
        </w:rPr>
        <w:t xml:space="preserve">Complete when  </w:t>
      </w:r>
      <w:r>
        <w:t>Material data limitations are corrected or recorded with a compensating procedure and owner.</w:t>
      </w:r>
    </w:p>
    <w:p>
      <w:pPr>
        <w:pStyle w:val="Heading2"/>
        <w:keepNext/>
      </w:pPr>
      <w:r>
        <w:t>3  Triage developments and plan targeted enquiry</w:t>
      </w:r>
    </w:p>
    <w:p>
      <w:pPr>
        <w:pStyle w:val="ListBullet"/>
      </w:pPr>
      <w:r>
        <w:t>Identify changes that could alter the platform or AE risk profile: leadership and organizational change, initiatives and contracts, operational risk events, audit and management issues, regulatory developments, business strategy, control change and other relevant intelligence.</w:t>
      </w:r>
    </w:p>
    <w:p>
      <w:pPr>
        <w:pStyle w:val="ListBullet"/>
      </w:pPr>
      <w:r>
        <w:t>For each material signal, decide which platform, region and AEs it may affect. Separate verified facts from interpretation and unresolved questions.</w:t>
      </w:r>
    </w:p>
    <w:p>
      <w:pPr>
        <w:pStyle w:val="ListBullet"/>
      </w:pPr>
      <w:r>
        <w:t>Prepare focused questions for management where the evidence does not explain cause, current control response, exposure or forward risk. Do not repeat a generic full interview because a source was pre-populated.</w:t>
      </w:r>
    </w:p>
    <w:p>
      <w:r>
        <w:rPr>
          <w:b/>
        </w:rPr>
        <w:t xml:space="preserve">Complete when  </w:t>
      </w:r>
      <w:r>
        <w:t>A short enquiry list targets decisions the available evidence cannot support.</w:t>
      </w:r>
    </w:p>
    <w:p>
      <w:pPr>
        <w:pStyle w:val="Heading2"/>
        <w:keepNext/>
      </w:pPr>
      <w:r>
        <w:t>4  Complete discussions and regional assessment</w:t>
      </w:r>
    </w:p>
    <w:p>
      <w:pPr>
        <w:pStyle w:val="ListBullet"/>
      </w:pPr>
      <w:r>
        <w:t>Record the date, role and substance of relevant management or other discussions, and corroborate consequential statements where practical.</w:t>
      </w:r>
    </w:p>
    <w:p>
      <w:pPr>
        <w:pStyle w:val="ListBullet"/>
      </w:pPr>
      <w:r>
        <w:t>In each regional view, explain material movement, exposure, control response and why the conclusion matters for that region. Link the evidence and distinguish an absence of events from an absence of data.</w:t>
      </w:r>
    </w:p>
    <w:p>
      <w:pPr>
        <w:pStyle w:val="ListBullet"/>
      </w:pPr>
      <w:r>
        <w:t>State 'no material change' only after the scope and relevant sources have been checked. Record any residual uncertainty, follow-up owner and due point.</w:t>
      </w:r>
    </w:p>
    <w:p>
      <w:r>
        <w:rPr>
          <w:b/>
        </w:rPr>
        <w:t xml:space="preserve">Complete when  </w:t>
      </w:r>
      <w:r>
        <w:t>Each regional conclusion is supported, concise and specific to its exposure.</w:t>
      </w:r>
    </w:p>
    <w:p>
      <w:pPr>
        <w:pStyle w:val="Heading1"/>
        <w:keepNext/>
      </w:pPr>
      <w:r>
        <w:t>Source guide for the pre-populated pack</w:t>
      </w:r>
    </w:p>
    <w:tbl>
      <w:tblPr>
        <w:tblW w:type="auto" w:w="0"/>
        <w:jc w:val="center"/>
        <w:tblLayout w:type="fixed"/>
        <w:tblLook w:firstColumn="1" w:firstRow="1" w:lastColumn="0" w:lastRow="0" w:noHBand="0" w:noVBand="1" w:val="04A0"/>
      </w:tblPr>
      <w:tblGrid>
        <w:gridCol w:w="1728"/>
        <w:gridCol w:w="4104"/>
        <w:gridCol w:w="4248"/>
      </w:tblGrid>
      <w:tr>
        <w:trPr>
          <w:cantSplit/>
          <w:tblHeader/>
        </w:trPr>
        <w:tc>
          <w:tcPr>
            <w:tcW w:type="dxa" w:w="3360"/>
            <w:vAlign w:val="center"/>
            <w:shd w:fill="1B2F42"/>
            <w:tcBorders>
              <w:bottom w:val="single" w:sz="4" w:color="D4DCE0"/>
            </w:tcBorders>
          </w:tcPr>
          <w:p>
            <w:r>
              <w:rPr>
                <w:b/>
                <w:color w:val="FFFFFF"/>
                <w:sz w:val="18"/>
              </w:rPr>
              <w:t>Feed</w:t>
            </w:r>
          </w:p>
        </w:tc>
        <w:tc>
          <w:tcPr>
            <w:tcW w:type="dxa" w:w="3360"/>
            <w:vAlign w:val="center"/>
            <w:shd w:fill="1B2F42"/>
            <w:tcBorders>
              <w:bottom w:val="single" w:sz="4" w:color="D4DCE0"/>
            </w:tcBorders>
          </w:tcPr>
          <w:p>
            <w:r>
              <w:rPr>
                <w:b/>
                <w:color w:val="FFFFFF"/>
                <w:sz w:val="18"/>
              </w:rPr>
              <w:t>What to check</w:t>
            </w:r>
          </w:p>
        </w:tc>
        <w:tc>
          <w:tcPr>
            <w:tcW w:type="dxa" w:w="3360"/>
            <w:vAlign w:val="center"/>
            <w:shd w:fill="1B2F42"/>
            <w:tcBorders>
              <w:bottom w:val="single" w:sz="4" w:color="D4DCE0"/>
            </w:tcBorders>
          </w:tcPr>
          <w:p>
            <w:r>
              <w:rPr>
                <w:b/>
                <w:color w:val="FFFFFF"/>
                <w:sz w:val="18"/>
              </w:rPr>
              <w:t>Judgement still needed</w:t>
            </w:r>
          </w:p>
        </w:tc>
      </w:tr>
      <w:tr>
        <w:trPr>
          <w:cantSplit/>
        </w:trPr>
        <w:tc>
          <w:tcPr>
            <w:tcW w:type="dxa" w:w="1728"/>
            <w:vAlign w:val="center"/>
            <w:shd w:fill="F3F6F7"/>
            <w:tcBorders>
              <w:bottom w:val="single" w:sz="4" w:color="D4DCE0"/>
            </w:tcBorders>
          </w:tcPr>
          <w:p>
            <w:pPr>
              <w:spacing w:after="0" w:before="0"/>
            </w:pPr>
            <w:r>
              <w:rPr>
                <w:color w:val="1B2F42"/>
                <w:sz w:val="17"/>
              </w:rPr>
              <w:t>Workday</w:t>
            </w:r>
          </w:p>
        </w:tc>
        <w:tc>
          <w:tcPr>
            <w:tcW w:type="dxa" w:w="4104"/>
            <w:vAlign w:val="center"/>
            <w:shd w:fill="F3F6F7"/>
            <w:tcBorders>
              <w:bottom w:val="single" w:sz="4" w:color="D4DCE0"/>
            </w:tcBorders>
          </w:tcPr>
          <w:p>
            <w:pPr>
              <w:spacing w:after="0" w:before="0"/>
            </w:pPr>
            <w:r>
              <w:rPr>
                <w:color w:val="1B2F42"/>
                <w:sz w:val="17"/>
              </w:rPr>
              <w:t>Executive and organizational movements; mapping and effective dates.</w:t>
            </w:r>
          </w:p>
        </w:tc>
        <w:tc>
          <w:tcPr>
            <w:tcW w:type="dxa" w:w="4248"/>
            <w:vAlign w:val="center"/>
            <w:shd w:fill="F3F6F7"/>
            <w:tcBorders>
              <w:bottom w:val="single" w:sz="4" w:color="D4DCE0"/>
            </w:tcBorders>
          </w:tcPr>
          <w:p>
            <w:pPr>
              <w:spacing w:after="0" w:before="0"/>
            </w:pPr>
            <w:r>
              <w:rPr>
                <w:color w:val="1B2F42"/>
                <w:sz w:val="17"/>
              </w:rPr>
              <w:t>Whether a movement affects control ownership, capability or the risk profile. Check the AI summary against source records.</w:t>
            </w:r>
          </w:p>
        </w:tc>
      </w:tr>
      <w:tr>
        <w:trPr>
          <w:cantSplit/>
        </w:trPr>
        <w:tc>
          <w:tcPr>
            <w:tcW w:type="dxa" w:w="1728"/>
            <w:vAlign w:val="center"/>
            <w:tcBorders>
              <w:bottom w:val="single" w:sz="4" w:color="D4DCE0"/>
            </w:tcBorders>
          </w:tcPr>
          <w:p>
            <w:pPr>
              <w:spacing w:after="0" w:before="0"/>
            </w:pPr>
            <w:r>
              <w:rPr>
                <w:color w:val="1B2F42"/>
                <w:sz w:val="17"/>
              </w:rPr>
              <w:t>PRAM</w:t>
            </w:r>
          </w:p>
        </w:tc>
        <w:tc>
          <w:tcPr>
            <w:tcW w:type="dxa" w:w="4104"/>
            <w:vAlign w:val="center"/>
            <w:tcBorders>
              <w:bottom w:val="single" w:sz="4" w:color="D4DCE0"/>
            </w:tcBorders>
          </w:tcPr>
          <w:p>
            <w:pPr>
              <w:spacing w:after="0" w:before="0"/>
            </w:pPr>
            <w:r>
              <w:rPr>
                <w:color w:val="1B2F42"/>
                <w:sz w:val="17"/>
              </w:rPr>
              <w:t>Projects and contracts that fall within the platform and region.</w:t>
            </w:r>
          </w:p>
        </w:tc>
        <w:tc>
          <w:tcPr>
            <w:tcW w:type="dxa" w:w="4248"/>
            <w:vAlign w:val="center"/>
            <w:tcBorders>
              <w:bottom w:val="single" w:sz="4" w:color="D4DCE0"/>
            </w:tcBorders>
          </w:tcPr>
          <w:p>
            <w:pPr>
              <w:spacing w:after="0" w:before="0"/>
            </w:pPr>
            <w:r>
              <w:rPr>
                <w:color w:val="1B2F42"/>
                <w:sz w:val="17"/>
              </w:rPr>
              <w:t>What is a key initiative; the feed alone has no universal materiality threshold.</w:t>
            </w:r>
          </w:p>
        </w:tc>
      </w:tr>
      <w:tr>
        <w:trPr>
          <w:cantSplit/>
        </w:trPr>
        <w:tc>
          <w:tcPr>
            <w:tcW w:type="dxa" w:w="1728"/>
            <w:vAlign w:val="center"/>
            <w:shd w:fill="F3F6F7"/>
            <w:tcBorders>
              <w:bottom w:val="single" w:sz="4" w:color="D4DCE0"/>
            </w:tcBorders>
          </w:tcPr>
          <w:p>
            <w:pPr>
              <w:spacing w:after="0" w:before="0"/>
            </w:pPr>
            <w:r>
              <w:rPr>
                <w:color w:val="1B2F42"/>
                <w:sz w:val="17"/>
              </w:rPr>
              <w:t>ORE</w:t>
            </w:r>
          </w:p>
        </w:tc>
        <w:tc>
          <w:tcPr>
            <w:tcW w:type="dxa" w:w="4104"/>
            <w:vAlign w:val="center"/>
            <w:shd w:fill="F3F6F7"/>
            <w:tcBorders>
              <w:bottom w:val="single" w:sz="4" w:color="D4DCE0"/>
            </w:tcBorders>
          </w:tcPr>
          <w:p>
            <w:pPr>
              <w:spacing w:after="0" w:before="0"/>
            </w:pPr>
            <w:r>
              <w:rPr>
                <w:color w:val="1B2F42"/>
                <w:sz w:val="17"/>
              </w:rPr>
              <w:t>New and closed-in-quarter events, severity and affected business.</w:t>
            </w:r>
          </w:p>
        </w:tc>
        <w:tc>
          <w:tcPr>
            <w:tcW w:type="dxa" w:w="4248"/>
            <w:vAlign w:val="center"/>
            <w:shd w:fill="F3F6F7"/>
            <w:tcBorders>
              <w:bottom w:val="single" w:sz="4" w:color="D4DCE0"/>
            </w:tcBorders>
          </w:tcPr>
          <w:p>
            <w:pPr>
              <w:spacing w:after="0" w:before="0"/>
            </w:pPr>
            <w:r>
              <w:rPr>
                <w:color w:val="1B2F42"/>
                <w:sz w:val="17"/>
              </w:rPr>
              <w:t>Whether an event signals a broader control issue and which AEs are affected.</w:t>
            </w:r>
          </w:p>
        </w:tc>
      </w:tr>
      <w:tr>
        <w:trPr>
          <w:cantSplit/>
        </w:trPr>
        <w:tc>
          <w:tcPr>
            <w:tcW w:type="dxa" w:w="1728"/>
            <w:vAlign w:val="center"/>
            <w:tcBorders>
              <w:bottom w:val="single" w:sz="4" w:color="D4DCE0"/>
            </w:tcBorders>
          </w:tcPr>
          <w:p>
            <w:pPr>
              <w:spacing w:after="0" w:before="0"/>
            </w:pPr>
            <w:r>
              <w:rPr>
                <w:color w:val="1B2F42"/>
                <w:sz w:val="17"/>
              </w:rPr>
              <w:t>Audit and management issues</w:t>
            </w:r>
          </w:p>
        </w:tc>
        <w:tc>
          <w:tcPr>
            <w:tcW w:type="dxa" w:w="4104"/>
            <w:vAlign w:val="center"/>
            <w:tcBorders>
              <w:bottom w:val="single" w:sz="4" w:color="D4DCE0"/>
            </w:tcBorders>
          </w:tcPr>
          <w:p>
            <w:pPr>
              <w:spacing w:after="0" w:before="0"/>
            </w:pPr>
            <w:r>
              <w:rPr>
                <w:color w:val="1B2F42"/>
                <w:sz w:val="17"/>
              </w:rPr>
              <w:t>Relevant open, new, changed and closed issues; system transition and mapping.</w:t>
            </w:r>
          </w:p>
        </w:tc>
        <w:tc>
          <w:tcPr>
            <w:tcW w:type="dxa" w:w="4248"/>
            <w:vAlign w:val="center"/>
            <w:tcBorders>
              <w:bottom w:val="single" w:sz="4" w:color="D4DCE0"/>
            </w:tcBorders>
          </w:tcPr>
          <w:p>
            <w:pPr>
              <w:spacing w:after="0" w:before="0"/>
            </w:pPr>
            <w:r>
              <w:rPr>
                <w:color w:val="1B2F42"/>
                <w:sz w:val="17"/>
              </w:rPr>
              <w:t>Platform relevance, remediation quality and residual exposure; no universal numeric threshold.</w:t>
            </w:r>
          </w:p>
        </w:tc>
      </w:tr>
      <w:tr>
        <w:trPr>
          <w:cantSplit/>
        </w:trPr>
        <w:tc>
          <w:tcPr>
            <w:tcW w:type="dxa" w:w="1728"/>
            <w:vAlign w:val="center"/>
            <w:shd w:fill="F3F6F7"/>
            <w:tcBorders>
              <w:bottom w:val="single" w:sz="4" w:color="D4DCE0"/>
            </w:tcBorders>
          </w:tcPr>
          <w:p>
            <w:pPr>
              <w:spacing w:after="0" w:before="0"/>
            </w:pPr>
            <w:r>
              <w:rPr>
                <w:color w:val="1B2F42"/>
                <w:sz w:val="17"/>
              </w:rPr>
              <w:t>Other information</w:t>
            </w:r>
          </w:p>
        </w:tc>
        <w:tc>
          <w:tcPr>
            <w:tcW w:type="dxa" w:w="4104"/>
            <w:vAlign w:val="center"/>
            <w:shd w:fill="F3F6F7"/>
            <w:tcBorders>
              <w:bottom w:val="single" w:sz="4" w:color="D4DCE0"/>
            </w:tcBorders>
          </w:tcPr>
          <w:p>
            <w:pPr>
              <w:spacing w:after="0" w:before="0"/>
            </w:pPr>
            <w:r>
              <w:rPr>
                <w:color w:val="1B2F42"/>
                <w:sz w:val="17"/>
              </w:rPr>
              <w:t>Regulatory, business and management intelligence available through approved channels.</w:t>
            </w:r>
          </w:p>
        </w:tc>
        <w:tc>
          <w:tcPr>
            <w:tcW w:type="dxa" w:w="4248"/>
            <w:vAlign w:val="center"/>
            <w:shd w:fill="F3F6F7"/>
            <w:tcBorders>
              <w:bottom w:val="single" w:sz="4" w:color="D4DCE0"/>
            </w:tcBorders>
          </w:tcPr>
          <w:p>
            <w:pPr>
              <w:spacing w:after="0" w:before="0"/>
            </w:pPr>
            <w:r>
              <w:rPr>
                <w:color w:val="1B2F42"/>
                <w:sz w:val="17"/>
              </w:rPr>
              <w:t>Whether source coverage is sufficient and what targeted enquiry is required.</w:t>
            </w:r>
          </w:p>
        </w:tc>
      </w:tr>
    </w:tbl>
    <w:p>
      <w:pPr>
        <w:spacing w:after="0"/>
      </w:pPr>
    </w:p>
    <w:p>
      <w:pPr>
        <w:pStyle w:val="Heading2"/>
        <w:keepNext/>
        <w:pageBreakBefore/>
      </w:pPr>
      <w:r>
        <w:t>5  Update the AE risk assessment</w:t>
      </w:r>
    </w:p>
    <w:p>
      <w:pPr>
        <w:pStyle w:val="ListBullet"/>
      </w:pPr>
      <w:r>
        <w:t>Open the AE schedule in the view matching the AE's authoritative region tag. Locate the unique AE ID and verify the prior rating, assessment owner and related AU.</w:t>
      </w:r>
    </w:p>
    <w:p>
      <w:pPr>
        <w:pStyle w:val="ListBullet"/>
      </w:pPr>
      <w:r>
        <w:t>Apply the current approved rating scale and criteria. Decide whether the rating remains or changes based on the AE's own exposure and controls; do not copy an AU or platform conclusion into every AE.</w:t>
      </w:r>
    </w:p>
    <w:p>
      <w:pPr>
        <w:pStyle w:val="ListBullet"/>
      </w:pPr>
      <w:r>
        <w:t>Enter the current rating, movement from prior quarter, dated rationale, material risk drivers, evidence links, management input, limitations and assessment owner. Explicitly confirm reviewed and unchanged AEs.</w:t>
      </w:r>
    </w:p>
    <w:p>
      <w:pPr>
        <w:pStyle w:val="ListBullet"/>
      </w:pPr>
      <w:r>
        <w:t>If an AE is tagged global, has no valid region, or appears under multiple platforms, log the exception and obtain a canonical location and owner before sign-off. Use the global exception schedule only for a confirmed global AE.</w:t>
      </w:r>
    </w:p>
    <w:p>
      <w:r>
        <w:rPr>
          <w:b/>
        </w:rPr>
        <w:t xml:space="preserve">Complete when  </w:t>
      </w:r>
      <w:r>
        <w:t>Every in-scope AE has one owned current-quarter rating record; changed ratings have an explainable trail.</w:t>
      </w:r>
    </w:p>
    <w:p>
      <w:pPr>
        <w:pStyle w:val="Heading1"/>
        <w:keepNext/>
      </w:pPr>
      <w:r>
        <w:t>AE rating location decision table</w:t>
      </w:r>
    </w:p>
    <w:tbl>
      <w:tblPr>
        <w:tblW w:type="auto" w:w="0"/>
        <w:jc w:val="center"/>
        <w:tblLayout w:type="fixed"/>
        <w:tblLook w:firstColumn="1" w:firstRow="1" w:lastColumn="0" w:lastRow="0" w:noHBand="0" w:noVBand="1" w:val="04A0"/>
      </w:tblPr>
      <w:tblGrid>
        <w:gridCol w:w="2376"/>
        <w:gridCol w:w="3672"/>
        <w:gridCol w:w="4032"/>
      </w:tblGrid>
      <w:tr>
        <w:trPr>
          <w:cantSplit/>
          <w:tblHeader/>
        </w:trPr>
        <w:tc>
          <w:tcPr>
            <w:tcW w:type="dxa" w:w="3360"/>
            <w:vAlign w:val="center"/>
            <w:shd w:fill="1B2F42"/>
            <w:tcBorders>
              <w:bottom w:val="single" w:sz="4" w:color="D4DCE0"/>
            </w:tcBorders>
          </w:tcPr>
          <w:p>
            <w:r>
              <w:rPr>
                <w:b/>
                <w:color w:val="FFFFFF"/>
                <w:sz w:val="18"/>
              </w:rPr>
              <w:t>Case</w:t>
            </w:r>
          </w:p>
        </w:tc>
        <w:tc>
          <w:tcPr>
            <w:tcW w:type="dxa" w:w="3360"/>
            <w:vAlign w:val="center"/>
            <w:shd w:fill="1B2F42"/>
            <w:tcBorders>
              <w:bottom w:val="single" w:sz="4" w:color="D4DCE0"/>
            </w:tcBorders>
          </w:tcPr>
          <w:p>
            <w:r>
              <w:rPr>
                <w:b/>
                <w:color w:val="FFFFFF"/>
                <w:sz w:val="18"/>
              </w:rPr>
              <w:t>Authoritative entry</w:t>
            </w:r>
          </w:p>
        </w:tc>
        <w:tc>
          <w:tcPr>
            <w:tcW w:type="dxa" w:w="3360"/>
            <w:vAlign w:val="center"/>
            <w:shd w:fill="1B2F42"/>
            <w:tcBorders>
              <w:bottom w:val="single" w:sz="4" w:color="D4DCE0"/>
            </w:tcBorders>
          </w:tcPr>
          <w:p>
            <w:r>
              <w:rPr>
                <w:b/>
                <w:color w:val="FFFFFF"/>
                <w:sz w:val="18"/>
              </w:rPr>
              <w:t>Related commentary</w:t>
            </w:r>
          </w:p>
        </w:tc>
      </w:tr>
      <w:tr>
        <w:trPr>
          <w:cantSplit/>
        </w:trPr>
        <w:tc>
          <w:tcPr>
            <w:tcW w:type="dxa" w:w="2376"/>
            <w:vAlign w:val="center"/>
            <w:shd w:fill="F3F6F7"/>
            <w:tcBorders>
              <w:bottom w:val="single" w:sz="4" w:color="D4DCE0"/>
            </w:tcBorders>
          </w:tcPr>
          <w:p>
            <w:pPr>
              <w:spacing w:after="0" w:before="0"/>
            </w:pPr>
            <w:r>
              <w:rPr>
                <w:color w:val="1B2F42"/>
                <w:sz w:val="17"/>
              </w:rPr>
              <w:t>AE tagged to one region</w:t>
            </w:r>
          </w:p>
        </w:tc>
        <w:tc>
          <w:tcPr>
            <w:tcW w:type="dxa" w:w="3672"/>
            <w:vAlign w:val="center"/>
            <w:shd w:fill="F3F6F7"/>
            <w:tcBorders>
              <w:bottom w:val="single" w:sz="4" w:color="D4DCE0"/>
            </w:tcBorders>
          </w:tcPr>
          <w:p>
            <w:pPr>
              <w:spacing w:after="0" w:before="0"/>
            </w:pPr>
            <w:r>
              <w:rPr>
                <w:color w:val="1B2F42"/>
                <w:sz w:val="17"/>
              </w:rPr>
              <w:t>AE schedule in that regional view.</w:t>
            </w:r>
          </w:p>
        </w:tc>
        <w:tc>
          <w:tcPr>
            <w:tcW w:type="dxa" w:w="4032"/>
            <w:vAlign w:val="center"/>
            <w:shd w:fill="F3F6F7"/>
            <w:tcBorders>
              <w:bottom w:val="single" w:sz="4" w:color="D4DCE0"/>
            </w:tcBorders>
          </w:tcPr>
          <w:p>
            <w:pPr>
              <w:spacing w:after="0" w:before="0"/>
            </w:pPr>
            <w:r>
              <w:rPr>
                <w:color w:val="1B2F42"/>
                <w:sz w:val="17"/>
              </w:rPr>
              <w:t>Global view may summarize movement with a link; do not re-enter the rating.</w:t>
            </w:r>
          </w:p>
        </w:tc>
      </w:tr>
      <w:tr>
        <w:trPr>
          <w:cantSplit/>
        </w:trPr>
        <w:tc>
          <w:tcPr>
            <w:tcW w:type="dxa" w:w="2376"/>
            <w:vAlign w:val="center"/>
            <w:tcBorders>
              <w:bottom w:val="single" w:sz="4" w:color="D4DCE0"/>
            </w:tcBorders>
          </w:tcPr>
          <w:p>
            <w:pPr>
              <w:spacing w:after="0" w:before="0"/>
            </w:pPr>
            <w:r>
              <w:rPr>
                <w:color w:val="1B2F42"/>
                <w:sz w:val="17"/>
              </w:rPr>
              <w:t>AU contains AEs in multiple regions</w:t>
            </w:r>
          </w:p>
        </w:tc>
        <w:tc>
          <w:tcPr>
            <w:tcW w:type="dxa" w:w="3672"/>
            <w:vAlign w:val="center"/>
            <w:tcBorders>
              <w:bottom w:val="single" w:sz="4" w:color="D4DCE0"/>
            </w:tcBorders>
          </w:tcPr>
          <w:p>
            <w:pPr>
              <w:spacing w:after="0" w:before="0"/>
            </w:pPr>
            <w:r>
              <w:rPr>
                <w:color w:val="1B2F42"/>
                <w:sz w:val="17"/>
              </w:rPr>
              <w:t>Each AE in its own tagged regional view.</w:t>
            </w:r>
          </w:p>
        </w:tc>
        <w:tc>
          <w:tcPr>
            <w:tcW w:type="dxa" w:w="4032"/>
            <w:vAlign w:val="center"/>
            <w:tcBorders>
              <w:bottom w:val="single" w:sz="4" w:color="D4DCE0"/>
            </w:tcBorders>
          </w:tcPr>
          <w:p>
            <w:pPr>
              <w:spacing w:after="0" w:before="0"/>
            </w:pPr>
            <w:r>
              <w:rPr>
                <w:color w:val="1B2F42"/>
                <w:sz w:val="17"/>
              </w:rPr>
              <w:t>AU-wide systemic theme in the global view; each affected AE is assessed on its own facts.</w:t>
            </w:r>
          </w:p>
        </w:tc>
      </w:tr>
      <w:tr>
        <w:trPr>
          <w:cantSplit/>
        </w:trPr>
        <w:tc>
          <w:tcPr>
            <w:tcW w:type="dxa" w:w="2376"/>
            <w:vAlign w:val="center"/>
            <w:shd w:fill="F3F6F7"/>
            <w:tcBorders>
              <w:bottom w:val="single" w:sz="4" w:color="D4DCE0"/>
            </w:tcBorders>
          </w:tcPr>
          <w:p>
            <w:pPr>
              <w:spacing w:after="0" w:before="0"/>
            </w:pPr>
            <w:r>
              <w:rPr>
                <w:color w:val="1B2F42"/>
                <w:sz w:val="17"/>
              </w:rPr>
              <w:t>AE is confirmed as genuinely global</w:t>
            </w:r>
          </w:p>
        </w:tc>
        <w:tc>
          <w:tcPr>
            <w:tcW w:type="dxa" w:w="3672"/>
            <w:vAlign w:val="center"/>
            <w:shd w:fill="F3F6F7"/>
            <w:tcBorders>
              <w:bottom w:val="single" w:sz="4" w:color="D4DCE0"/>
            </w:tcBorders>
          </w:tcPr>
          <w:p>
            <w:pPr>
              <w:spacing w:after="0" w:before="0"/>
            </w:pPr>
            <w:r>
              <w:rPr>
                <w:color w:val="1B2F42"/>
                <w:sz w:val="17"/>
              </w:rPr>
              <w:t>Single global AE exception record in the global view, with named owner.</w:t>
            </w:r>
          </w:p>
        </w:tc>
        <w:tc>
          <w:tcPr>
            <w:tcW w:type="dxa" w:w="4032"/>
            <w:vAlign w:val="center"/>
            <w:shd w:fill="F3F6F7"/>
            <w:tcBorders>
              <w:bottom w:val="single" w:sz="4" w:color="D4DCE0"/>
            </w:tcBorders>
          </w:tcPr>
          <w:p>
            <w:pPr>
              <w:spacing w:after="0" w:before="0"/>
            </w:pPr>
            <w:r>
              <w:rPr>
                <w:color w:val="1B2F42"/>
                <w:sz w:val="17"/>
              </w:rPr>
              <w:t>Regional implications are linked, not duplicated as separate ratings.</w:t>
            </w:r>
          </w:p>
        </w:tc>
      </w:tr>
      <w:tr>
        <w:trPr>
          <w:cantSplit/>
        </w:trPr>
        <w:tc>
          <w:tcPr>
            <w:tcW w:type="dxa" w:w="2376"/>
            <w:vAlign w:val="center"/>
            <w:tcBorders>
              <w:bottom w:val="single" w:sz="4" w:color="D4DCE0"/>
            </w:tcBorders>
          </w:tcPr>
          <w:p>
            <w:pPr>
              <w:spacing w:after="0" w:before="0"/>
            </w:pPr>
            <w:r>
              <w:rPr>
                <w:color w:val="1B2F42"/>
                <w:sz w:val="17"/>
              </w:rPr>
              <w:t>Region or platform tag is disputed</w:t>
            </w:r>
          </w:p>
        </w:tc>
        <w:tc>
          <w:tcPr>
            <w:tcW w:type="dxa" w:w="3672"/>
            <w:vAlign w:val="center"/>
            <w:tcBorders>
              <w:bottom w:val="single" w:sz="4" w:color="D4DCE0"/>
            </w:tcBorders>
          </w:tcPr>
          <w:p>
            <w:pPr>
              <w:spacing w:after="0" w:before="0"/>
            </w:pPr>
            <w:r>
              <w:rPr>
                <w:color w:val="1B2F42"/>
                <w:sz w:val="17"/>
              </w:rPr>
              <w:t>Mapping exception pending a canonical owner and location.</w:t>
            </w:r>
          </w:p>
        </w:tc>
        <w:tc>
          <w:tcPr>
            <w:tcW w:type="dxa" w:w="4032"/>
            <w:vAlign w:val="center"/>
            <w:tcBorders>
              <w:bottom w:val="single" w:sz="4" w:color="D4DCE0"/>
            </w:tcBorders>
          </w:tcPr>
          <w:p>
            <w:pPr>
              <w:spacing w:after="0" w:before="0"/>
            </w:pPr>
            <w:r>
              <w:rPr>
                <w:color w:val="1B2F42"/>
                <w:sz w:val="17"/>
              </w:rPr>
              <w:t>Do not invent a region or close the pack with an unresolved material coverage gap.</w:t>
            </w:r>
          </w:p>
        </w:tc>
      </w:tr>
    </w:tbl>
    <w:p>
      <w:pPr>
        <w:spacing w:after="0"/>
      </w:pPr>
    </w:p>
    <w:tbl>
      <w:tblPr>
        <w:tblW w:type="auto" w:w="0"/>
        <w:tblLayout w:type="fixed"/>
        <w:tblLook w:firstColumn="1" w:firstRow="1" w:lastColumn="0" w:lastRow="0" w:noHBand="0" w:noVBand="1" w:val="04A0"/>
      </w:tblPr>
      <w:tblGrid>
        <w:gridCol w:w="10080"/>
      </w:tblGrid>
      <w:tr>
        <w:tc>
          <w:tcPr>
            <w:tcW w:type="dxa" w:w="10080"/>
            <w:shd w:fill="EAF2F3"/>
          </w:tcPr>
          <w:p>
            <w:pPr>
              <w:spacing w:after="0"/>
            </w:pPr>
            <w:r>
              <w:rPr>
                <w:b/>
                <w:color w:val="196972"/>
                <w:sz w:val="19"/>
              </w:rPr>
              <w:t xml:space="preserve">Worked routing example  </w:t>
            </w:r>
            <w:r>
              <w:rPr>
                <w:sz w:val="19"/>
              </w:rPr>
              <w:t>A T&amp;O Global Cybersecurity AU contains AEs tagged Canada, US and Europe. The AU lead may coordinate a common control theme, while each AE assessment owner records that AE's rating in its own regional view. The global T&amp;O view captures the cross-region theme and links to the three AE records. A common incident does not automatically produce the same rating in all three AEs.</w:t>
            </w:r>
          </w:p>
        </w:tc>
      </w:tr>
    </w:tbl>
    <w:p>
      <w:pPr>
        <w:spacing w:after="0"/>
      </w:pPr>
    </w:p>
    <w:p>
      <w:pPr>
        <w:pStyle w:val="Heading2"/>
        <w:keepNext/>
      </w:pPr>
      <w:r>
        <w:t>6  Bring specialist input into the right views</w:t>
      </w:r>
    </w:p>
    <w:p>
      <w:pPr>
        <w:pStyle w:val="ListBullet"/>
      </w:pPr>
      <w:r>
        <w:t>Cross-platform teams such as Model Risk, Credit Risk, Banking Operations or Financial Crimes review the relevant pre-populated evidence once and contribute to each platform and region covered by their AUs.</w:t>
      </w:r>
    </w:p>
    <w:p>
      <w:pPr>
        <w:pStyle w:val="ListBullet"/>
      </w:pPr>
      <w:r>
        <w:t>Use a consistent contribution structure: development or issue; affected platform and region; implication for risk or coverage; evidence link; and any unresolved question. State no material update where supportable.</w:t>
      </w:r>
    </w:p>
    <w:p>
      <w:pPr>
        <w:pStyle w:val="ListBullet"/>
      </w:pPr>
      <w:r>
        <w:t>The platform owner resolves comments with contributors. Reuse common evidence, but write the consequence for each platform; do not create a second mandatory CRM document for every AU.</w:t>
      </w:r>
    </w:p>
    <w:p>
      <w:r>
        <w:rPr>
          <w:b/>
        </w:rPr>
        <w:t xml:space="preserve">Complete when  </w:t>
      </w:r>
      <w:r>
        <w:t>Each material specialist perspective is present in the relevant pack without duplicate AU-level documentation.</w:t>
      </w:r>
    </w:p>
    <w:p>
      <w:pPr>
        <w:pStyle w:val="Heading2"/>
        <w:keepNext/>
      </w:pPr>
      <w:r>
        <w:t>7  Consolidate the global view</w:t>
      </w:r>
    </w:p>
    <w:p>
      <w:pPr>
        <w:pStyle w:val="ListBullet"/>
      </w:pPr>
      <w:r>
        <w:t>Compare the regional conclusions for shared drivers, inconsistent assumptions and emerging cross-region patterns. Resolve differences with the regional and AE owners.</w:t>
      </w:r>
    </w:p>
    <w:p>
      <w:pPr>
        <w:pStyle w:val="ListBullet"/>
      </w:pPr>
      <w:r>
        <w:t>Write the global platform conclusion: material quarter-over-quarter changes, implications for the platform risk profile and audit response, and significant uncertainty. Refer to regional analyses and AE movement rather than copying their text or ratings.</w:t>
      </w:r>
    </w:p>
    <w:p>
      <w:pPr>
        <w:pStyle w:val="ListBullet"/>
      </w:pPr>
      <w:r>
        <w:t>Identify an AU-wide theme where useful for coverage decisions. Keep the AE-by-region trail intact.</w:t>
      </w:r>
    </w:p>
    <w:p>
      <w:r>
        <w:rPr>
          <w:b/>
        </w:rPr>
        <w:t xml:space="preserve">Complete when  </w:t>
      </w:r>
      <w:r>
        <w:t>The global view explains the whole-platform implication and reconciles to the regional records.</w:t>
      </w:r>
    </w:p>
    <w:p>
      <w:pPr>
        <w:pStyle w:val="Heading2"/>
        <w:keepNext/>
      </w:pPr>
      <w:r>
        <w:t>8  Review, approve and retain</w:t>
      </w:r>
    </w:p>
    <w:p>
      <w:pPr>
        <w:pStyle w:val="ListBullet"/>
      </w:pPr>
      <w:r>
        <w:t>Reconcile AE IDs and statuses to the inventory: no missing or duplicate current-quarter ratings. Review the evidence and approved criteria behind material changes and challenged unchanged high-risk AEs.</w:t>
      </w:r>
    </w:p>
    <w:p>
      <w:pPr>
        <w:pStyle w:val="ListBullet"/>
      </w:pPr>
      <w:r>
        <w:t>Check that global and regional conclusions agree or explain differences; all material data, mapping and contribution exceptions have resolution or an approved disposition.</w:t>
      </w:r>
    </w:p>
    <w:p>
      <w:pPr>
        <w:pStyle w:val="ListBullet"/>
      </w:pPr>
      <w:r>
        <w:t>Obtain the review and sign-off required by the finalized methodology. Retain the submitted pack, version, evidence links, key management discussions and review trail in the approved location.</w:t>
      </w:r>
    </w:p>
    <w:p>
      <w:r>
        <w:rPr>
          <w:b/>
        </w:rPr>
        <w:t xml:space="preserve">Complete when  </w:t>
      </w:r>
      <w:r>
        <w:t>The pack is complete, challenged and retrievable under the approved retention process.</w:t>
      </w:r>
    </w:p>
    <w:p>
      <w:pPr>
        <w:pStyle w:val="Heading1"/>
        <w:keepNext/>
        <w:pageBreakBefore/>
      </w:pPr>
      <w:r>
        <w:t>Minimum AE record</w:t>
      </w:r>
    </w:p>
    <w:p>
      <w:r>
        <w:t>The template or linked AE schedule should expose the following fields. Use the approved system fields where they already exist; do not create a second authoritative rating store.</w:t>
      </w: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5040"/>
            <w:vAlign w:val="center"/>
            <w:shd w:fill="1B2F42"/>
            <w:tcBorders>
              <w:bottom w:val="single" w:sz="4" w:color="D4DCE0"/>
            </w:tcBorders>
          </w:tcPr>
          <w:p>
            <w:r>
              <w:rPr>
                <w:b/>
                <w:color w:val="FFFFFF"/>
                <w:sz w:val="18"/>
              </w:rPr>
              <w:t>Identity and routing</w:t>
            </w:r>
          </w:p>
        </w:tc>
        <w:tc>
          <w:tcPr>
            <w:tcW w:type="dxa" w:w="5040"/>
            <w:vAlign w:val="center"/>
            <w:shd w:fill="1B2F42"/>
            <w:tcBorders>
              <w:bottom w:val="single" w:sz="4" w:color="D4DCE0"/>
            </w:tcBorders>
          </w:tcPr>
          <w:p>
            <w:r>
              <w:rPr>
                <w:b/>
                <w:color w:val="FFFFFF"/>
                <w:sz w:val="18"/>
              </w:rPr>
              <w:t>Decision and traceability</w:t>
            </w:r>
          </w:p>
        </w:tc>
      </w:tr>
      <w:tr>
        <w:trPr>
          <w:cantSplit/>
        </w:trPr>
        <w:tc>
          <w:tcPr>
            <w:tcW w:type="dxa" w:w="5040"/>
            <w:vAlign w:val="center"/>
            <w:shd w:fill="F3F6F7"/>
            <w:tcBorders>
              <w:bottom w:val="single" w:sz="4" w:color="D4DCE0"/>
            </w:tcBorders>
          </w:tcPr>
          <w:p>
            <w:pPr>
              <w:spacing w:after="0" w:before="0"/>
            </w:pPr>
            <w:r>
              <w:rPr>
                <w:color w:val="1B2F42"/>
                <w:sz w:val="17"/>
              </w:rPr>
              <w:t>Quarter; unique AE ID and name; platform; authoritative region; related AU(s).</w:t>
            </w:r>
          </w:p>
        </w:tc>
        <w:tc>
          <w:tcPr>
            <w:tcW w:type="dxa" w:w="5040"/>
            <w:vAlign w:val="center"/>
            <w:shd w:fill="F3F6F7"/>
            <w:tcBorders>
              <w:bottom w:val="single" w:sz="4" w:color="D4DCE0"/>
            </w:tcBorders>
          </w:tcPr>
          <w:p>
            <w:pPr>
              <w:spacing w:after="0" w:before="0"/>
            </w:pPr>
            <w:r>
              <w:rPr>
                <w:color w:val="1B2F42"/>
                <w:sz w:val="17"/>
              </w:rPr>
              <w:t>Prior and current risk rating; changed or unchanged; effective/as-of date.</w:t>
            </w:r>
          </w:p>
        </w:tc>
      </w:tr>
      <w:tr>
        <w:trPr>
          <w:cantSplit/>
        </w:trPr>
        <w:tc>
          <w:tcPr>
            <w:tcW w:type="dxa" w:w="5040"/>
            <w:vAlign w:val="center"/>
            <w:tcBorders>
              <w:bottom w:val="single" w:sz="4" w:color="D4DCE0"/>
            </w:tcBorders>
          </w:tcPr>
          <w:p>
            <w:pPr>
              <w:spacing w:after="0" w:before="0"/>
            </w:pPr>
            <w:r>
              <w:rPr>
                <w:color w:val="1B2F42"/>
                <w:sz w:val="17"/>
              </w:rPr>
              <w:t>Assessment owner; regional lead; reviewer/status.</w:t>
            </w:r>
          </w:p>
        </w:tc>
        <w:tc>
          <w:tcPr>
            <w:tcW w:type="dxa" w:w="5040"/>
            <w:vAlign w:val="center"/>
            <w:tcBorders>
              <w:bottom w:val="single" w:sz="4" w:color="D4DCE0"/>
            </w:tcBorders>
          </w:tcPr>
          <w:p>
            <w:pPr>
              <w:spacing w:after="0" w:before="0"/>
            </w:pPr>
            <w:r>
              <w:rPr>
                <w:color w:val="1B2F42"/>
                <w:sz w:val="17"/>
              </w:rPr>
              <w:t>Risk drivers and control response; dated rationale; source links and management input.</w:t>
            </w:r>
          </w:p>
        </w:tc>
      </w:tr>
      <w:tr>
        <w:trPr>
          <w:cantSplit/>
        </w:trPr>
        <w:tc>
          <w:tcPr>
            <w:tcW w:type="dxa" w:w="5040"/>
            <w:vAlign w:val="center"/>
            <w:shd w:fill="F3F6F7"/>
            <w:tcBorders>
              <w:bottom w:val="single" w:sz="4" w:color="D4DCE0"/>
            </w:tcBorders>
          </w:tcPr>
          <w:p>
            <w:pPr>
              <w:spacing w:after="0" w:before="0"/>
            </w:pPr>
            <w:r>
              <w:rPr>
                <w:color w:val="1B2F42"/>
                <w:sz w:val="17"/>
              </w:rPr>
              <w:t>Canonical location or exception reference for global/cross-platform AEs.</w:t>
            </w:r>
          </w:p>
        </w:tc>
        <w:tc>
          <w:tcPr>
            <w:tcW w:type="dxa" w:w="5040"/>
            <w:vAlign w:val="center"/>
            <w:shd w:fill="F3F6F7"/>
            <w:tcBorders>
              <w:bottom w:val="single" w:sz="4" w:color="D4DCE0"/>
            </w:tcBorders>
          </w:tcPr>
          <w:p>
            <w:pPr>
              <w:spacing w:after="0" w:before="0"/>
            </w:pPr>
            <w:r>
              <w:rPr>
                <w:color w:val="1B2F42"/>
                <w:sz w:val="17"/>
              </w:rPr>
              <w:t>Open uncertainty, escalation or follow-up; review and sign-off trail.</w:t>
            </w:r>
          </w:p>
        </w:tc>
      </w:tr>
    </w:tbl>
    <w:p>
      <w:pPr>
        <w:spacing w:after="0"/>
      </w:pPr>
    </w:p>
    <w:p>
      <w:pPr>
        <w:pStyle w:val="Heading1"/>
        <w:keepNext/>
      </w:pPr>
      <w:r>
        <w:t>When to stop and escalate</w:t>
      </w:r>
    </w:p>
    <w:tbl>
      <w:tblPr>
        <w:tblW w:type="auto" w:w="0"/>
        <w:jc w:val="center"/>
        <w:tblLayout w:type="fixed"/>
        <w:tblLook w:firstColumn="1" w:firstRow="1" w:lastColumn="0" w:lastRow="0" w:noHBand="0" w:noVBand="1" w:val="04A0"/>
      </w:tblPr>
      <w:tblGrid>
        <w:gridCol w:w="2376"/>
        <w:gridCol w:w="4320"/>
        <w:gridCol w:w="3384"/>
      </w:tblGrid>
      <w:tr>
        <w:trPr>
          <w:cantSplit/>
          <w:tblHeader/>
        </w:trPr>
        <w:tc>
          <w:tcPr>
            <w:tcW w:type="dxa" w:w="3360"/>
            <w:vAlign w:val="center"/>
            <w:shd w:fill="1B2F42"/>
            <w:tcBorders>
              <w:bottom w:val="single" w:sz="4" w:color="D4DCE0"/>
            </w:tcBorders>
          </w:tcPr>
          <w:p>
            <w:r>
              <w:rPr>
                <w:b/>
                <w:color w:val="FFFFFF"/>
                <w:sz w:val="18"/>
              </w:rPr>
              <w:t>Condition</w:t>
            </w:r>
          </w:p>
        </w:tc>
        <w:tc>
          <w:tcPr>
            <w:tcW w:type="dxa" w:w="3360"/>
            <w:vAlign w:val="center"/>
            <w:shd w:fill="1B2F42"/>
            <w:tcBorders>
              <w:bottom w:val="single" w:sz="4" w:color="D4DCE0"/>
            </w:tcBorders>
          </w:tcPr>
          <w:p>
            <w:r>
              <w:rPr>
                <w:b/>
                <w:color w:val="FFFFFF"/>
                <w:sz w:val="18"/>
              </w:rPr>
              <w:t>Immediate action</w:t>
            </w:r>
          </w:p>
        </w:tc>
        <w:tc>
          <w:tcPr>
            <w:tcW w:type="dxa" w:w="3360"/>
            <w:vAlign w:val="center"/>
            <w:shd w:fill="1B2F42"/>
            <w:tcBorders>
              <w:bottom w:val="single" w:sz="4" w:color="D4DCE0"/>
            </w:tcBorders>
          </w:tcPr>
          <w:p>
            <w:r>
              <w:rPr>
                <w:b/>
                <w:color w:val="FFFFFF"/>
                <w:sz w:val="18"/>
              </w:rPr>
              <w:t>Closure test</w:t>
            </w:r>
          </w:p>
        </w:tc>
      </w:tr>
      <w:tr>
        <w:trPr>
          <w:cantSplit/>
        </w:trPr>
        <w:tc>
          <w:tcPr>
            <w:tcW w:type="dxa" w:w="2376"/>
            <w:vAlign w:val="center"/>
            <w:shd w:fill="F3F6F7"/>
            <w:tcBorders>
              <w:bottom w:val="single" w:sz="4" w:color="D4DCE0"/>
            </w:tcBorders>
          </w:tcPr>
          <w:p>
            <w:pPr>
              <w:spacing w:after="0" w:before="0"/>
            </w:pPr>
            <w:r>
              <w:rPr>
                <w:color w:val="1B2F42"/>
                <w:sz w:val="17"/>
              </w:rPr>
              <w:t>AE missing, duplicated or misrouted</w:t>
            </w:r>
          </w:p>
        </w:tc>
        <w:tc>
          <w:tcPr>
            <w:tcW w:type="dxa" w:w="4320"/>
            <w:vAlign w:val="center"/>
            <w:shd w:fill="F3F6F7"/>
            <w:tcBorders>
              <w:bottom w:val="single" w:sz="4" w:color="D4DCE0"/>
            </w:tcBorders>
          </w:tcPr>
          <w:p>
            <w:pPr>
              <w:spacing w:after="0" w:before="0"/>
            </w:pPr>
            <w:r>
              <w:rPr>
                <w:color w:val="1B2F42"/>
                <w:sz w:val="17"/>
              </w:rPr>
              <w:t>Log the AE ID and discrepancy; ask the inventory/methodology owner to determine canonical region, platform and assessment owner.</w:t>
            </w:r>
          </w:p>
        </w:tc>
        <w:tc>
          <w:tcPr>
            <w:tcW w:type="dxa" w:w="3384"/>
            <w:vAlign w:val="center"/>
            <w:shd w:fill="F3F6F7"/>
            <w:tcBorders>
              <w:bottom w:val="single" w:sz="4" w:color="D4DCE0"/>
            </w:tcBorders>
          </w:tcPr>
          <w:p>
            <w:pPr>
              <w:spacing w:after="0" w:before="0"/>
            </w:pPr>
            <w:r>
              <w:rPr>
                <w:color w:val="1B2F42"/>
                <w:sz w:val="17"/>
              </w:rPr>
              <w:t>One reconciled entry and evidence of the mapping decision.</w:t>
            </w:r>
          </w:p>
        </w:tc>
      </w:tr>
      <w:tr>
        <w:trPr>
          <w:cantSplit/>
        </w:trPr>
        <w:tc>
          <w:tcPr>
            <w:tcW w:type="dxa" w:w="2376"/>
            <w:vAlign w:val="center"/>
            <w:tcBorders>
              <w:bottom w:val="single" w:sz="4" w:color="D4DCE0"/>
            </w:tcBorders>
          </w:tcPr>
          <w:p>
            <w:pPr>
              <w:spacing w:after="0" w:before="0"/>
            </w:pPr>
            <w:r>
              <w:rPr>
                <w:color w:val="1B2F42"/>
                <w:sz w:val="17"/>
              </w:rPr>
              <w:t>Pre-populated source stale, incomplete or inconsistent</w:t>
            </w:r>
          </w:p>
        </w:tc>
        <w:tc>
          <w:tcPr>
            <w:tcW w:type="dxa" w:w="4320"/>
            <w:vAlign w:val="center"/>
            <w:tcBorders>
              <w:bottom w:val="single" w:sz="4" w:color="D4DCE0"/>
            </w:tcBorders>
          </w:tcPr>
          <w:p>
            <w:pPr>
              <w:spacing w:after="0" w:before="0"/>
            </w:pPr>
            <w:r>
              <w:rPr>
                <w:color w:val="1B2F42"/>
                <w:sz w:val="17"/>
              </w:rPr>
              <w:t>Identify affected conclusion; obtain source correction or alternative evidence; inform the platform owner.</w:t>
            </w:r>
          </w:p>
        </w:tc>
        <w:tc>
          <w:tcPr>
            <w:tcW w:type="dxa" w:w="3384"/>
            <w:vAlign w:val="center"/>
            <w:tcBorders>
              <w:bottom w:val="single" w:sz="4" w:color="D4DCE0"/>
            </w:tcBorders>
          </w:tcPr>
          <w:p>
            <w:pPr>
              <w:spacing w:after="0" w:before="0"/>
            </w:pPr>
            <w:r>
              <w:rPr>
                <w:color w:val="1B2F42"/>
                <w:sz w:val="17"/>
              </w:rPr>
              <w:t>Limitation and compensating work documented; material conclusions supported.</w:t>
            </w:r>
          </w:p>
        </w:tc>
      </w:tr>
      <w:tr>
        <w:trPr>
          <w:cantSplit/>
        </w:trPr>
        <w:tc>
          <w:tcPr>
            <w:tcW w:type="dxa" w:w="2376"/>
            <w:vAlign w:val="center"/>
            <w:shd w:fill="F3F6F7"/>
            <w:tcBorders>
              <w:bottom w:val="single" w:sz="4" w:color="D4DCE0"/>
            </w:tcBorders>
          </w:tcPr>
          <w:p>
            <w:pPr>
              <w:spacing w:after="0" w:before="0"/>
            </w:pPr>
            <w:r>
              <w:rPr>
                <w:color w:val="1B2F42"/>
                <w:sz w:val="17"/>
              </w:rPr>
              <w:t>Specialist and platform owners disagree</w:t>
            </w:r>
          </w:p>
        </w:tc>
        <w:tc>
          <w:tcPr>
            <w:tcW w:type="dxa" w:w="4320"/>
            <w:vAlign w:val="center"/>
            <w:shd w:fill="F3F6F7"/>
            <w:tcBorders>
              <w:bottom w:val="single" w:sz="4" w:color="D4DCE0"/>
            </w:tcBorders>
          </w:tcPr>
          <w:p>
            <w:pPr>
              <w:spacing w:after="0" w:before="0"/>
            </w:pPr>
            <w:r>
              <w:rPr>
                <w:color w:val="1B2F42"/>
                <w:sz w:val="17"/>
              </w:rPr>
              <w:t>Record the competing evidence and decision point; escalate to the designated reviewer.</w:t>
            </w:r>
          </w:p>
        </w:tc>
        <w:tc>
          <w:tcPr>
            <w:tcW w:type="dxa" w:w="3384"/>
            <w:vAlign w:val="center"/>
            <w:shd w:fill="F3F6F7"/>
            <w:tcBorders>
              <w:bottom w:val="single" w:sz="4" w:color="D4DCE0"/>
            </w:tcBorders>
          </w:tcPr>
          <w:p>
            <w:pPr>
              <w:spacing w:after="0" w:before="0"/>
            </w:pPr>
            <w:r>
              <w:rPr>
                <w:color w:val="1B2F42"/>
                <w:sz w:val="17"/>
              </w:rPr>
              <w:t>Resolution and accountable judgement in the pack.</w:t>
            </w:r>
          </w:p>
        </w:tc>
      </w:tr>
      <w:tr>
        <w:trPr>
          <w:cantSplit/>
        </w:trPr>
        <w:tc>
          <w:tcPr>
            <w:tcW w:type="dxa" w:w="2376"/>
            <w:vAlign w:val="center"/>
            <w:tcBorders>
              <w:bottom w:val="single" w:sz="4" w:color="D4DCE0"/>
            </w:tcBorders>
          </w:tcPr>
          <w:p>
            <w:pPr>
              <w:spacing w:after="0" w:before="0"/>
            </w:pPr>
            <w:r>
              <w:rPr>
                <w:color w:val="1B2F42"/>
                <w:sz w:val="17"/>
              </w:rPr>
              <w:t>Material rating or regulatory implication uncertain</w:t>
            </w:r>
          </w:p>
        </w:tc>
        <w:tc>
          <w:tcPr>
            <w:tcW w:type="dxa" w:w="4320"/>
            <w:vAlign w:val="center"/>
            <w:tcBorders>
              <w:bottom w:val="single" w:sz="4" w:color="D4DCE0"/>
            </w:tcBorders>
          </w:tcPr>
          <w:p>
            <w:pPr>
              <w:spacing w:after="0" w:before="0"/>
            </w:pPr>
            <w:r>
              <w:rPr>
                <w:color w:val="1B2F42"/>
                <w:sz w:val="17"/>
              </w:rPr>
              <w:t>Do not force a rating to meet the schedule; escalate promptly under approved methodology.</w:t>
            </w:r>
          </w:p>
        </w:tc>
        <w:tc>
          <w:tcPr>
            <w:tcW w:type="dxa" w:w="3384"/>
            <w:vAlign w:val="center"/>
            <w:tcBorders>
              <w:bottom w:val="single" w:sz="4" w:color="D4DCE0"/>
            </w:tcBorders>
          </w:tcPr>
          <w:p>
            <w:pPr>
              <w:spacing w:after="0" w:before="0"/>
            </w:pPr>
            <w:r>
              <w:rPr>
                <w:color w:val="1B2F42"/>
                <w:sz w:val="17"/>
              </w:rPr>
              <w:t>Authorized decision and rationale before final sign-off.</w:t>
            </w:r>
          </w:p>
        </w:tc>
      </w:tr>
    </w:tbl>
    <w:p>
      <w:pPr>
        <w:spacing w:after="0"/>
      </w:pPr>
    </w:p>
    <w:p>
      <w:pPr>
        <w:pStyle w:val="Heading1"/>
        <w:keepNext/>
      </w:pPr>
      <w:r>
        <w:t>Closeout checklist</w:t>
      </w:r>
    </w:p>
    <w:p>
      <w:pPr>
        <w:pStyle w:val="ListBullet"/>
      </w:pPr>
      <w:r>
        <w:t>Global and required regional views cover the full platform and quarter; all material source limitations are addressed.</w:t>
      </w:r>
    </w:p>
    <w:p>
      <w:pPr>
        <w:pStyle w:val="ListBullet"/>
      </w:pPr>
      <w:r>
        <w:t>AE inventory reconciles to one current-quarter rating for each AE; global and disputed AEs have an approved route.</w:t>
      </w:r>
    </w:p>
    <w:p>
      <w:pPr>
        <w:pStyle w:val="ListBullet"/>
      </w:pPr>
      <w:r>
        <w:t>Rating movements and meaningful unchanged assessments have rationale, evidence, owner and review trail.</w:t>
      </w:r>
    </w:p>
    <w:p>
      <w:pPr>
        <w:pStyle w:val="ListBullet"/>
      </w:pPr>
      <w:r>
        <w:t>Cross-platform contributors confirm relevant input; disagreements and material gaps are resolved or escalated.</w:t>
      </w:r>
    </w:p>
    <w:p>
      <w:pPr>
        <w:pStyle w:val="ListBullet"/>
      </w:pPr>
      <w:r>
        <w:t>Global conclusion summarizes implications and audit response without duplicating regional ratings; final pack is signed and retained under the approved process.</w:t>
      </w:r>
    </w:p>
    <w:p>
      <w:pPr>
        <w:pStyle w:val="Heading1"/>
        <w:keepNext/>
      </w:pPr>
      <w:r>
        <w:t>Decisions required before release</w:t>
      </w:r>
    </w:p>
    <w:p>
      <w:r>
        <w:t>The following are design decisions, not established RBC methodology. A process owner should approve them, update the template and training, and replace this draft with the controlled procedure.</w:t>
      </w:r>
    </w:p>
    <w:tbl>
      <w:tblPr>
        <w:tblW w:type="auto" w:w="0"/>
        <w:jc w:val="center"/>
        <w:tblLayout w:type="fixed"/>
        <w:tblLook w:firstColumn="1" w:firstRow="1" w:lastColumn="0" w:lastRow="0" w:noHBand="0" w:noVBand="1" w:val="04A0"/>
      </w:tblPr>
      <w:tblGrid>
        <w:gridCol w:w="3096"/>
        <w:gridCol w:w="6984"/>
      </w:tblGrid>
      <w:tr>
        <w:trPr>
          <w:cantSplit/>
          <w:tblHeader/>
        </w:trPr>
        <w:tc>
          <w:tcPr>
            <w:tcW w:type="dxa" w:w="5040"/>
            <w:vAlign w:val="center"/>
            <w:shd w:fill="1B2F42"/>
            <w:tcBorders>
              <w:bottom w:val="single" w:sz="4" w:color="D4DCE0"/>
            </w:tcBorders>
          </w:tcPr>
          <w:p>
            <w:r>
              <w:rPr>
                <w:b/>
                <w:color w:val="FFFFFF"/>
                <w:sz w:val="18"/>
              </w:rPr>
              <w:t>Decision</w:t>
            </w:r>
          </w:p>
        </w:tc>
        <w:tc>
          <w:tcPr>
            <w:tcW w:type="dxa" w:w="5040"/>
            <w:vAlign w:val="center"/>
            <w:shd w:fill="1B2F42"/>
            <w:tcBorders>
              <w:bottom w:val="single" w:sz="4" w:color="D4DCE0"/>
            </w:tcBorders>
          </w:tcPr>
          <w:p>
            <w:r>
              <w:rPr>
                <w:b/>
                <w:color w:val="FFFFFF"/>
                <w:sz w:val="18"/>
              </w:rPr>
              <w:t>Proposed resolution to validate</w:t>
            </w:r>
          </w:p>
        </w:tc>
      </w:tr>
      <w:tr>
        <w:trPr>
          <w:cantSplit/>
        </w:trPr>
        <w:tc>
          <w:tcPr>
            <w:tcW w:type="dxa" w:w="3096"/>
            <w:vAlign w:val="center"/>
            <w:shd w:fill="F3F6F7"/>
            <w:tcBorders>
              <w:bottom w:val="single" w:sz="4" w:color="D4DCE0"/>
            </w:tcBorders>
          </w:tcPr>
          <w:p>
            <w:pPr>
              <w:spacing w:after="0" w:before="0"/>
            </w:pPr>
            <w:r>
              <w:rPr>
                <w:color w:val="1B2F42"/>
                <w:sz w:val="17"/>
              </w:rPr>
              <w:t>AE rating location and global exceptions</w:t>
            </w:r>
          </w:p>
        </w:tc>
        <w:tc>
          <w:tcPr>
            <w:tcW w:type="dxa" w:w="6984"/>
            <w:vAlign w:val="center"/>
            <w:shd w:fill="F3F6F7"/>
            <w:tcBorders>
              <w:bottom w:val="single" w:sz="4" w:color="D4DCE0"/>
            </w:tcBorders>
          </w:tcPr>
          <w:p>
            <w:pPr>
              <w:spacing w:after="0" w:before="0"/>
            </w:pPr>
            <w:r>
              <w:rPr>
                <w:color w:val="1B2F42"/>
                <w:sz w:val="17"/>
              </w:rPr>
              <w:t>Regional AE schedule by tagged region; one global exception record only for confirmed global AEs; global summary links without duplicate ratings.</w:t>
            </w:r>
          </w:p>
        </w:tc>
      </w:tr>
      <w:tr>
        <w:trPr>
          <w:cantSplit/>
        </w:trPr>
        <w:tc>
          <w:tcPr>
            <w:tcW w:type="dxa" w:w="3096"/>
            <w:vAlign w:val="center"/>
            <w:tcBorders>
              <w:bottom w:val="single" w:sz="4" w:color="D4DCE0"/>
            </w:tcBorders>
          </w:tcPr>
          <w:p>
            <w:pPr>
              <w:spacing w:after="0" w:before="0"/>
            </w:pPr>
            <w:r>
              <w:rPr>
                <w:color w:val="1B2F42"/>
                <w:sz w:val="17"/>
              </w:rPr>
              <w:t>AE mapping and ownership</w:t>
            </w:r>
          </w:p>
        </w:tc>
        <w:tc>
          <w:tcPr>
            <w:tcW w:type="dxa" w:w="6984"/>
            <w:vAlign w:val="center"/>
            <w:tcBorders>
              <w:bottom w:val="single" w:sz="4" w:color="D4DCE0"/>
            </w:tcBorders>
          </w:tcPr>
          <w:p>
            <w:pPr>
              <w:spacing w:after="0" w:before="0"/>
            </w:pPr>
            <w:r>
              <w:rPr>
                <w:color w:val="1B2F42"/>
                <w:sz w:val="17"/>
              </w:rPr>
              <w:t>Authoritative AE ID, platform and region mapping; one assessment owner; explicit cross-platform and disputed-tag resolution.</w:t>
            </w:r>
          </w:p>
        </w:tc>
      </w:tr>
      <w:tr>
        <w:trPr>
          <w:cantSplit/>
        </w:trPr>
        <w:tc>
          <w:tcPr>
            <w:tcW w:type="dxa" w:w="3096"/>
            <w:vAlign w:val="center"/>
            <w:shd w:fill="F3F6F7"/>
            <w:tcBorders>
              <w:bottom w:val="single" w:sz="4" w:color="D4DCE0"/>
            </w:tcBorders>
          </w:tcPr>
          <w:p>
            <w:pPr>
              <w:spacing w:after="0" w:before="0"/>
            </w:pPr>
            <w:r>
              <w:rPr>
                <w:color w:val="1B2F42"/>
                <w:sz w:val="17"/>
              </w:rPr>
              <w:t>Criteria, review and sign-off</w:t>
            </w:r>
          </w:p>
        </w:tc>
        <w:tc>
          <w:tcPr>
            <w:tcW w:type="dxa" w:w="6984"/>
            <w:vAlign w:val="center"/>
            <w:shd w:fill="F3F6F7"/>
            <w:tcBorders>
              <w:bottom w:val="single" w:sz="4" w:color="D4DCE0"/>
            </w:tcBorders>
          </w:tcPr>
          <w:p>
            <w:pPr>
              <w:spacing w:after="0" w:before="0"/>
            </w:pPr>
            <w:r>
              <w:rPr>
                <w:color w:val="1B2F42"/>
                <w:sz w:val="17"/>
              </w:rPr>
              <w:t>Approved rating scale, evidence minimum, review levels, regulatory/regional overlays and retention location.</w:t>
            </w:r>
          </w:p>
        </w:tc>
      </w:tr>
      <w:tr>
        <w:trPr>
          <w:cantSplit/>
        </w:trPr>
        <w:tc>
          <w:tcPr>
            <w:tcW w:type="dxa" w:w="3096"/>
            <w:vAlign w:val="center"/>
            <w:tcBorders>
              <w:bottom w:val="single" w:sz="4" w:color="D4DCE0"/>
            </w:tcBorders>
          </w:tcPr>
          <w:p>
            <w:pPr>
              <w:spacing w:after="0" w:before="0"/>
            </w:pPr>
            <w:r>
              <w:rPr>
                <w:color w:val="1B2F42"/>
                <w:sz w:val="17"/>
              </w:rPr>
              <w:t>Pack mechanics</w:t>
            </w:r>
          </w:p>
        </w:tc>
        <w:tc>
          <w:tcPr>
            <w:tcW w:type="dxa" w:w="6984"/>
            <w:vAlign w:val="center"/>
            <w:tcBorders>
              <w:bottom w:val="single" w:sz="4" w:color="D4DCE0"/>
            </w:tcBorders>
          </w:tcPr>
          <w:p>
            <w:pPr>
              <w:spacing w:after="0" w:before="0"/>
            </w:pPr>
            <w:r>
              <w:rPr>
                <w:color w:val="1B2F42"/>
                <w:sz w:val="17"/>
              </w:rPr>
              <w:t>Where the AE schedule lives, how links and versions work, how contributors edit and how reconciliation is performed.</w:t>
            </w:r>
          </w:p>
        </w:tc>
      </w:tr>
      <w:tr>
        <w:trPr>
          <w:cantSplit/>
        </w:trPr>
        <w:tc>
          <w:tcPr>
            <w:tcW w:type="dxa" w:w="3096"/>
            <w:vAlign w:val="center"/>
            <w:shd w:fill="F3F6F7"/>
            <w:tcBorders>
              <w:bottom w:val="single" w:sz="4" w:color="D4DCE0"/>
            </w:tcBorders>
          </w:tcPr>
          <w:p>
            <w:pPr>
              <w:spacing w:after="0" w:before="0"/>
            </w:pPr>
            <w:r>
              <w:rPr>
                <w:color w:val="1B2F42"/>
                <w:sz w:val="17"/>
              </w:rPr>
              <w:t>Source operation</w:t>
            </w:r>
          </w:p>
        </w:tc>
        <w:tc>
          <w:tcPr>
            <w:tcW w:type="dxa" w:w="6984"/>
            <w:vAlign w:val="center"/>
            <w:shd w:fill="F3F6F7"/>
            <w:tcBorders>
              <w:bottom w:val="single" w:sz="4" w:color="D4DCE0"/>
            </w:tcBorders>
          </w:tcPr>
          <w:p>
            <w:pPr>
              <w:spacing w:after="0" w:before="0"/>
            </w:pPr>
            <w:r>
              <w:rPr>
                <w:color w:val="1B2F42"/>
                <w:sz w:val="17"/>
              </w:rPr>
              <w:t>Confirmed platform/region availability and refresh checks for each feed, including transition from MetricStream to EIM.</w:t>
            </w:r>
          </w:p>
        </w:tc>
      </w:tr>
    </w:tbl>
    <w:p>
      <w:pPr>
        <w:spacing w:after="0"/>
      </w:pPr>
    </w:p>
    <w:p>
      <w:pPr>
        <w:spacing w:before="120" w:after="40"/>
      </w:pPr>
      <w:r>
        <w:rPr>
          <w:b/>
          <w:color w:val="196972"/>
          <w:sz w:val="16"/>
        </w:rPr>
        <w:t xml:space="preserve">Design basis  </w:t>
      </w:r>
      <w:r>
        <w:rPr>
          <w:color w:val="5D6973"/>
          <w:sz w:val="16"/>
        </w:rPr>
        <w:t>CRM Transformation Tech and AI SteerCo Executive Update (13 Sep 2026, slides 1-5); Model Risk CRM User Journey Editable (14 Sep 2026, slide and notes); CRM Regional Data Source Appendix (13 Sep 2026, slides 1-4); process design direction (29 Sep 2026). Formal Methodology approval remains required.</w:t>
      </w:r>
    </w:p>
    <w:sectPr w:rsidR="00FC693F" w:rsidRPr="0006063C" w:rsidSect="00034616">
      <w:footerReference w:type="default" r:id="rId9"/>
      <w:pgSz w:w="12240" w:h="15840"/>
      <w:pgMar w:top="893" w:right="1066" w:bottom="806"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D6973"/>
        <w:sz w:val="16"/>
      </w:rPr>
      <w:t>CRM auditor runbook  |  Proposed process  |  29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Liberation Sans" w:hAnsi="Liberation Sans" w:eastAsia="Liberation Sans" w:cs="Liberation Sans"/>
      <w:color w:val="1B2F4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Liberation Sans" w:hAnsi="Liberation Sans" w:eastAsia="Liberation Sans" w:cs="Liberation Sans"/>
      <w:b/>
      <w:bCs/>
      <w:color w:val="1B2F42"/>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Liberation Sans" w:hAnsi="Liberation Sans" w:eastAsia="Liberation Sans" w:cs="Liberation Sans"/>
      <w:b/>
      <w:bCs/>
      <w:color w:val="196972"/>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Liberation Sans" w:hAnsi="Liberation Sans" w:eastAsia="Liberation Sans" w:cs="Liberation Sans"/>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9" w:lineRule="auto"/>
      <w:ind w:left="331" w:hanging="173"/>
      <w:contextualSpacing/>
    </w:pPr>
    <w:rPr>
      <w:rFonts w:ascii="Liberation Sans" w:hAnsi="Liberation Sans" w:eastAsia="Liberation Sans" w:cs="Liberation San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9" w:lineRule="auto"/>
      <w:ind w:left="331" w:hanging="173"/>
      <w:contextualSpacing/>
    </w:pPr>
    <w:rPr>
      <w:rFonts w:ascii="Liberation Sans" w:hAnsi="Liberation Sans" w:eastAsia="Liberation Sans" w:cs="Liberation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Continuous Risk Monitoring Auditor Runbook</dc:title>
  <dc:subject>Proposed platform and regional CRM procedure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