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center"/>
        <w:rPr>
          <w:rFonts w:cs="Tahoma"/>
          <w:lang w:val="es-ES"/>
        </w:rPr>
      </w:pPr>
      <w:r>
        <w:rPr>
          <w:rFonts w:cs="Tahoma"/>
          <w:lang w:val="es-ES"/>
        </w:rPr>
        <w:t>TALENTOS PARA EL EMPLEO</w:t>
      </w:r>
    </w:p>
    <w:p>
      <w:pPr>
        <w:pStyle w:val="Normal"/>
        <w:jc w:val="center"/>
        <w:rPr/>
      </w:pPr>
      <w:r>
        <w:rPr>
          <w:rStyle w:val="SubtleEmphasis"/>
          <w:rFonts w:cs="Tahoma"/>
          <w:lang w:val="es-ES"/>
        </w:rPr>
        <w:t>Paso a producción</w:t>
      </w:r>
    </w:p>
    <w:p>
      <w:pPr>
        <w:pStyle w:val="Normal"/>
        <w:rPr>
          <w:rStyle w:val="SubtleEmphasis"/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ELABORADO POR:</w:t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JHONY ALEXANDER ROCHA AVENDAÑO</w:t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Contratista de Desarrollo</w:t>
      </w:r>
    </w:p>
    <w:p>
      <w:pPr>
        <w:pStyle w:val="Normal"/>
        <w:rPr>
          <w:rFonts w:ascii="Tahoma" w:hAnsi="Tahoma"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Subdirección de Desarrollo y Tecnología</w:t>
      </w:r>
    </w:p>
    <w:p>
      <w:p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Unidad Administrativa Especial del Servicio Público de Empleo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09" w:top="1440" w:footer="709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BOGOTÁ D.C., AGOSTO 24 DE 2015</w:t>
      </w:r>
    </w:p>
    <w:p>
      <w:pPr>
        <w:pStyle w:val="Encabezadodelndice"/>
        <w:jc w:val="center"/>
        <w:rPr>
          <w:lang w:val="es-ES"/>
        </w:rPr>
      </w:pPr>
      <w:r>
        <w:rPr>
          <w:lang w:val="es-ES"/>
        </w:rPr>
        <w:t>CONTENIDO</w:t>
      </w:r>
    </w:p>
    <w:p>
      <w:pPr>
        <w:pStyle w:val="Normal"/>
        <w:rPr/>
      </w:pPr>
      <w:r>
        <w:rPr/>
      </w:r>
    </w:p>
    <w:p>
      <w:pPr>
        <w:pStyle w:val="Ndice1"/>
        <w:tabs>
          <w:tab w:val="right" w:pos="8838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749_2041396739">
        <w:r>
          <w:rPr>
            <w:rStyle w:val="Style"/>
          </w:rPr>
          <w:t>Introducción</w:t>
          <w:tab/>
          <w:t>4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352_461438637">
        <w:r>
          <w:rPr>
            <w:rStyle w:val="Style"/>
          </w:rPr>
          <w:t>1.Especificaciones técnicas</w:t>
          <w:tab/>
          <w:t>5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751_2041396739">
        <w:r>
          <w:rPr>
            <w:rStyle w:val="Style"/>
          </w:rPr>
          <w:t>2.Versión 001. Implementación del Proyecto</w:t>
          <w:tab/>
          <w:t>6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29_1167730872">
        <w:r>
          <w:rPr>
            <w:rStyle w:val="Style"/>
          </w:rPr>
          <w:t>3.Versión 002. Actualización del Proyecto</w:t>
          <w:tab/>
          <w:t>8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2100_1487805163">
        <w:r>
          <w:rPr>
            <w:rStyle w:val="Style"/>
          </w:rPr>
          <w:t>4.Versión 003. Actualización del Proyecto</w:t>
          <w:tab/>
          <w:t>9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2102_1487805163">
        <w:r>
          <w:rPr>
            <w:rStyle w:val="Style"/>
          </w:rPr>
          <w:t>5.Versión 004. Actualización del Proyecto</w:t>
          <w:tab/>
          <w:t>11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3972_1487805163">
        <w:r>
          <w:rPr>
            <w:rStyle w:val="Style"/>
          </w:rPr>
          <w:t>6.Versión 005. Actualización del Proyecto</w:t>
          <w:tab/>
          <w:t>13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3974_1487805163">
        <w:r>
          <w:rPr>
            <w:rStyle w:val="Style"/>
          </w:rPr>
          <w:t>7.Versión 006. Actualización del Proyecto</w:t>
          <w:tab/>
          <w:t>14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1_1487805163">
        <w:r>
          <w:rPr>
            <w:rStyle w:val="Style"/>
          </w:rPr>
          <w:t>8.Versión 007. Actualización del Proyecto</w:t>
          <w:tab/>
          <w:t>16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3_1487805163">
        <w:r>
          <w:rPr>
            <w:rStyle w:val="Style"/>
          </w:rPr>
          <w:t>9.Versión 008. Actualización del Proyecto</w:t>
          <w:tab/>
          <w:t>18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5_1487805163">
        <w:r>
          <w:rPr>
            <w:rStyle w:val="Style"/>
          </w:rPr>
          <w:t>10.Versión 009. Actualización del Proyecto</w:t>
          <w:tab/>
          <w:t>19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7_1487805163">
        <w:r>
          <w:rPr>
            <w:rStyle w:val="Style"/>
          </w:rPr>
          <w:t>11.Versión 010. Actualización del Proyecto</w:t>
          <w:tab/>
          <w:t>20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55_1439298752">
        <w:r>
          <w:rPr>
            <w:rStyle w:val="Style"/>
          </w:rPr>
          <w:t>12.Versión 011. Actualización del Proyecto</w:t>
          <w:tab/>
          <w:t>22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57_1439298752">
        <w:r>
          <w:rPr>
            <w:rStyle w:val="Style"/>
          </w:rPr>
          <w:t>13.Versión 012. Actualización del Proyecto</w:t>
          <w:tab/>
          <w:t>23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59_1439298752">
        <w:r>
          <w:rPr>
            <w:rStyle w:val="Style"/>
          </w:rPr>
          <w:t>14.Versión 013. Actualización del Proyecto</w:t>
          <w:tab/>
          <w:t>25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61_1439298752">
        <w:r>
          <w:rPr>
            <w:rStyle w:val="Style"/>
          </w:rPr>
          <w:t>15.Versión 014. Actualización del Proyecto</w:t>
          <w:tab/>
          <w:t>27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63_1439298752">
        <w:r>
          <w:rPr>
            <w:rStyle w:val="Style"/>
          </w:rPr>
          <w:t>16.Versión 015. Actualización del Proyecto</w:t>
          <w:tab/>
          <w:t>28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65_1439298752">
        <w:r>
          <w:rPr>
            <w:rStyle w:val="Style"/>
          </w:rPr>
          <w:t>17.Versión 016. Actualización del Proyecto</w:t>
          <w:tab/>
          <w:t>31</w:t>
        </w:r>
      </w:hyperlink>
      <w:r>
        <w:fldChar w:fldCharType="end"/>
      </w:r>
    </w:p>
    <w:p>
      <w:pPr>
        <w:pStyle w:val="Normal"/>
        <w:rPr>
          <w:rFonts w:ascii="Tahoma" w:hAnsi="Tahoma"/>
        </w:rPr>
      </w:pPr>
      <w:r>
        <w:rPr/>
      </w:r>
    </w:p>
    <w:p>
      <w:pPr>
        <w:pStyle w:val="Encabezadodelndicedetablas"/>
        <w:rPr/>
      </w:pPr>
      <w:r>
        <w:rPr/>
        <w:t>Índice de tablas</w:t>
      </w:r>
    </w:p>
    <w:p>
      <w:pPr>
        <w:pStyle w:val="Ndicedetablas1"/>
        <w:tabs>
          <w:tab w:val="right" w:pos="8838" w:leader="dot"/>
        </w:tabs>
        <w:rPr/>
      </w:pPr>
      <w:r>
        <w:fldChar w:fldCharType="begin"/>
      </w:r>
      <w:r>
        <w:instrText> TOC \c "Tabla" </w:instrText>
      </w:r>
      <w:r>
        <w:fldChar w:fldCharType="separate"/>
      </w:r>
      <w:r>
        <w:rPr/>
        <w:t>Tabla 1: Paso a producción versión 001.</w:t>
        <w:tab/>
        <w:t>5</w:t>
      </w:r>
    </w:p>
    <w:p>
      <w:pPr>
        <w:pStyle w:val="Ndicedetablas1"/>
        <w:tabs>
          <w:tab w:val="right" w:pos="8838" w:leader="dot"/>
        </w:tabs>
        <w:rPr/>
      </w:pPr>
      <w:r>
        <w:rPr/>
        <w:t>Tabla 2: Paso a producción versión 002.</w:t>
        <w:tab/>
        <w:t>7</w:t>
      </w:r>
    </w:p>
    <w:p>
      <w:pPr>
        <w:pStyle w:val="Ndicedetablas1"/>
        <w:tabs>
          <w:tab w:val="right" w:pos="8838" w:leader="dot"/>
        </w:tabs>
        <w:rPr/>
      </w:pPr>
      <w:r>
        <w:rPr/>
        <w:t>Tabla 3: Paso a producción versión 0003.</w:t>
        <w:tab/>
        <w:t>8</w:t>
      </w:r>
    </w:p>
    <w:p>
      <w:pPr>
        <w:pStyle w:val="Ndicedetablas1"/>
        <w:tabs>
          <w:tab w:val="right" w:pos="8838" w:leader="dot"/>
        </w:tabs>
        <w:rPr/>
      </w:pPr>
      <w:r>
        <w:rPr/>
        <w:t>Tabla 4: Paso a producción versión 004.</w:t>
        <w:tab/>
        <w:t>10</w:t>
      </w:r>
    </w:p>
    <w:p>
      <w:pPr>
        <w:pStyle w:val="Ndicedetablas1"/>
        <w:tabs>
          <w:tab w:val="right" w:pos="8838" w:leader="dot"/>
        </w:tabs>
        <w:rPr/>
      </w:pPr>
      <w:r>
        <w:rPr/>
        <w:t>Tabla 5: Paso a producción versión 005.</w:t>
        <w:tab/>
        <w:t>12</w:t>
      </w:r>
    </w:p>
    <w:p>
      <w:pPr>
        <w:pStyle w:val="Ndicedetablas1"/>
        <w:tabs>
          <w:tab w:val="right" w:pos="8838" w:leader="dot"/>
        </w:tabs>
        <w:rPr/>
      </w:pPr>
      <w:r>
        <w:rPr/>
        <w:t>Tabla 6: Paso a producción versión 006.</w:t>
        <w:tab/>
        <w:t>13</w:t>
      </w:r>
    </w:p>
    <w:p>
      <w:pPr>
        <w:pStyle w:val="Ndicedetablas1"/>
        <w:tabs>
          <w:tab w:val="right" w:pos="8838" w:leader="dot"/>
        </w:tabs>
        <w:rPr/>
      </w:pPr>
      <w:r>
        <w:rPr/>
        <w:t>Tabla 7: Paso a producción versión 007.</w:t>
        <w:tab/>
        <w:t>15</w:t>
      </w:r>
    </w:p>
    <w:p>
      <w:pPr>
        <w:pStyle w:val="Ndicedetablas1"/>
        <w:tabs>
          <w:tab w:val="right" w:pos="8838" w:leader="dot"/>
        </w:tabs>
        <w:rPr/>
      </w:pPr>
      <w:r>
        <w:rPr/>
        <w:t>Tabla 8: Paso a producción versión 008.</w:t>
        <w:tab/>
        <w:t>17</w:t>
      </w:r>
    </w:p>
    <w:p>
      <w:pPr>
        <w:pStyle w:val="Ndicedetablas1"/>
        <w:tabs>
          <w:tab w:val="right" w:pos="8838" w:leader="dot"/>
        </w:tabs>
        <w:rPr/>
      </w:pPr>
      <w:r>
        <w:rPr/>
        <w:t>Tabla 9: Paso a producción versión 009.</w:t>
        <w:tab/>
        <w:t>18</w:t>
      </w:r>
    </w:p>
    <w:p>
      <w:pPr>
        <w:pStyle w:val="Ndicedetablas1"/>
        <w:tabs>
          <w:tab w:val="right" w:pos="8838" w:leader="dot"/>
        </w:tabs>
        <w:rPr/>
      </w:pPr>
      <w:r>
        <w:rPr/>
        <w:t>Tabla 10: Paso a producción versión 0010.</w:t>
        <w:tab/>
        <w:t>19</w:t>
      </w:r>
    </w:p>
    <w:p>
      <w:pPr>
        <w:pStyle w:val="Ndicedetablas1"/>
        <w:tabs>
          <w:tab w:val="right" w:pos="8838" w:leader="dot"/>
        </w:tabs>
        <w:rPr/>
      </w:pPr>
      <w:r>
        <w:rPr/>
        <w:t>Tabla 11: Paso a producción versión 0011.</w:t>
        <w:tab/>
        <w:t>21</w:t>
      </w:r>
    </w:p>
    <w:p>
      <w:pPr>
        <w:pStyle w:val="Ndicedetablas1"/>
        <w:tabs>
          <w:tab w:val="right" w:pos="8838" w:leader="dot"/>
        </w:tabs>
        <w:rPr/>
      </w:pPr>
      <w:r>
        <w:rPr/>
        <w:t>Tabla 12: Paso a producción versión 0012.</w:t>
        <w:tab/>
        <w:t>22</w:t>
      </w:r>
    </w:p>
    <w:p>
      <w:pPr>
        <w:pStyle w:val="Ndicedetablas1"/>
        <w:tabs>
          <w:tab w:val="right" w:pos="8838" w:leader="dot"/>
        </w:tabs>
        <w:rPr/>
      </w:pPr>
      <w:r>
        <w:rPr/>
        <w:t>Tabla 13: Paso a producción versión 0013.</w:t>
        <w:tab/>
        <w:t>24</w:t>
      </w:r>
    </w:p>
    <w:p>
      <w:pPr>
        <w:pStyle w:val="Ndicedetablas1"/>
        <w:tabs>
          <w:tab w:val="right" w:pos="8838" w:leader="dot"/>
        </w:tabs>
        <w:rPr/>
      </w:pPr>
      <w:r>
        <w:rPr/>
        <w:t>Tabla 14: Paso a producción versión 0014.</w:t>
        <w:tab/>
        <w:t>26</w:t>
      </w:r>
    </w:p>
    <w:p>
      <w:pPr>
        <w:pStyle w:val="Ndicedetablas1"/>
        <w:tabs>
          <w:tab w:val="right" w:pos="8838" w:leader="dot"/>
        </w:tabs>
        <w:rPr/>
      </w:pPr>
      <w:r>
        <w:rPr/>
        <w:t>Tabla 15: Paso a producción versión 0015.</w:t>
        <w:tab/>
        <w:t>27</w:t>
      </w:r>
    </w:p>
    <w:p>
      <w:pPr>
        <w:pStyle w:val="Ndicedetablas1"/>
        <w:tabs>
          <w:tab w:val="right" w:pos="8838" w:leader="dot"/>
        </w:tabs>
        <w:rPr/>
      </w:pPr>
      <w:r>
        <w:rPr/>
        <w:t>Tabla 16: Paso a producción versión 0016.</w:t>
        <w:tab/>
        <w:t>30</w:t>
      </w:r>
      <w:r>
        <w:fldChar w:fldCharType="end"/>
      </w:r>
    </w:p>
    <w:p>
      <w:pPr>
        <w:pStyle w:val="Normal"/>
        <w:rPr>
          <w:rFonts w:ascii="Tahoma" w:hAnsi="Tahoma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Encabezado1"/>
        <w:jc w:val="center"/>
        <w:rPr/>
      </w:pPr>
      <w:bookmarkStart w:id="0" w:name="__RefHeading__749_2041396739"/>
      <w:bookmarkStart w:id="1" w:name="_Toc299642515"/>
      <w:bookmarkEnd w:id="0"/>
      <w:bookmarkEnd w:id="1"/>
      <w:r>
        <w:rPr/>
        <w:t>Introducción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En el presente documento se describirá </w:t>
      </w:r>
      <w:r>
        <w:rPr/>
        <w:t>el paso a paso a producción</w:t>
      </w:r>
      <w:r>
        <w:rPr/>
        <w:t xml:space="preserve"> del Sistema de Información “Talentos para el Empleo” </w:t>
      </w:r>
      <w:r>
        <w:rPr/>
        <w:t>en cada una de sus actualizaciones y/o versiones</w:t>
      </w:r>
      <w:r>
        <w:rPr/>
        <w:t>. Est</w:t>
      </w:r>
      <w:r>
        <w:rPr/>
        <w:t>a</w:t>
      </w:r>
      <w:r>
        <w:rPr/>
        <w:t xml:space="preserve">s </w:t>
      </w:r>
      <w:r>
        <w:rPr/>
        <w:t>actualizaciones</w:t>
      </w:r>
      <w:r>
        <w:rPr/>
        <w:t xml:space="preserve"> son el resultado de l</w:t>
      </w:r>
      <w:r>
        <w:rPr/>
        <w:t>a</w:t>
      </w:r>
      <w:r>
        <w:rPr/>
        <w:t xml:space="preserve"> </w:t>
      </w:r>
      <w:r>
        <w:rPr/>
        <w:t>etapa</w:t>
      </w:r>
      <w:r>
        <w:rPr/>
        <w:t xml:space="preserve"> de </w:t>
      </w:r>
      <w:r>
        <w:rPr/>
        <w:t>Desarrollo</w:t>
      </w:r>
      <w:r>
        <w:rPr/>
        <w:t>, realizado de acuerdo a las necesidades del negocio.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algunas ocasiones dentro de los pasos a producción se mencionará</w:t>
      </w:r>
      <w:r>
        <w:rPr/>
        <w:t>n</w:t>
      </w:r>
      <w:r>
        <w:rPr/>
        <w:t xml:space="preserve"> algunos documentos o archivos externos al presente documento. Estos documentos o archivos externos se encontrarán debidamente nombrados y ordenados dentro de la carpeta correspondiente de la versión del paso a paso.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Cada carpeta tendrá como nombre la fecha en que se realizó la puesta en producción, con el formato “YYYY-MM-DD”, y después contendrá el número de la versión del proyecto, quedando de la siguiente manera “YYYY-MM-DD-XXX”, donde “XXX” corresponde al número de la versión.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Además, en cada carpeta se encuentra una carpeta con las modificaciones a realizar, la cual llamaremos “1-Ajustes”, y dentro de ella se encuentran dos carpetas, la primera con las actualizaciones al proyecto WEB “APP” y la segunda con las actualizaciones sobre la base de datos “BD”.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Así mismo, aparte de la carpeta “1-Ajustes”, también se encuentra una carpeta para almacenar una copia de seguridad del proyecto y base de datos, la cual llamaremos “2-Actualizado”, después de haberse implementado las actualizaciones. En esta carpeta se encontrarán las carpetas “BD” y “APP”.</w:t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2" w:name="__RefHeading__4352_461438637"/>
      <w:bookmarkEnd w:id="2"/>
      <w:r>
        <w:rPr/>
        <w:t>E</w:t>
      </w:r>
      <w:r>
        <w:rPr/>
        <w:t>specificaciones técnicas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A continuación se encuentra la</w:t>
      </w:r>
      <w:r>
        <w:rPr/>
        <w:t xml:space="preserve"> documentación técnica que describe las características técnicas del sistema de información Talentos para el Empleo.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 xml:space="preserve">La arquitectura del proyecto es de tres capas, </w:t>
      </w:r>
      <w:r>
        <w:rPr/>
        <w:t>en una capa se encuentra</w:t>
      </w:r>
      <w:r>
        <w:rPr/>
        <w:t xml:space="preserve"> el producto “</w:t>
      </w:r>
      <w:r>
        <w:rPr/>
        <w:t>Aplicación</w:t>
      </w:r>
      <w:r>
        <w:rPr/>
        <w:t xml:space="preserve">”, </w:t>
      </w:r>
      <w:r>
        <w:rPr/>
        <w:t>el cuál</w:t>
      </w:r>
      <w:r>
        <w:rPr/>
        <w:t xml:space="preserve"> se </w:t>
      </w:r>
      <w:r>
        <w:rPr/>
        <w:t>alojará</w:t>
      </w:r>
      <w:r>
        <w:rPr/>
        <w:t xml:space="preserve"> en el servidor de aplicaciones ubicado en el departamento de tecnología del Ministerio de Trabajo. </w:t>
      </w:r>
      <w:r>
        <w:rPr/>
        <w:t>Otra capa contiene l</w:t>
      </w:r>
      <w:r>
        <w:rPr/>
        <w:t xml:space="preserve">as estaciones de trabajo, </w:t>
      </w:r>
      <w:r>
        <w:rPr/>
        <w:t>que</w:t>
      </w:r>
      <w:r>
        <w:rPr/>
        <w:t xml:space="preserve"> </w:t>
      </w:r>
      <w:r>
        <w:rPr/>
        <w:t>sólo</w:t>
      </w:r>
      <w:r>
        <w:rPr/>
        <w:t xml:space="preserve"> necesitan como software de apoyo un explorador de Internet (</w:t>
      </w:r>
      <w:r>
        <w:rPr/>
        <w:t>Internet Explorer 9 o superior, Google Chrome 26 o superior, Firefox 20 o superior</w:t>
      </w:r>
      <w:r>
        <w:rPr/>
        <w:t xml:space="preserve">) </w:t>
      </w:r>
      <w:r>
        <w:rPr/>
        <w:t>para ejecutar el aplicativo</w:t>
      </w:r>
      <w:r>
        <w:rPr/>
        <w:t xml:space="preserve">. </w:t>
      </w:r>
      <w:r>
        <w:rPr/>
        <w:t xml:space="preserve">Y en una última capa se encuentra el servidor de base  de datos donde se persiste la información del sistema de información Talentos para el Empleo. </w:t>
      </w:r>
      <w:r>
        <w:rPr/>
        <w:t xml:space="preserve">   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Características de la implementación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360" w:before="0" w:after="0"/>
        <w:jc w:val="both"/>
        <w:rPr/>
      </w:pPr>
      <w:r>
        <w:rPr/>
        <w:t>Herramientas y l</w:t>
      </w:r>
      <w:r>
        <w:rPr/>
        <w:t>enguajes de programación: la aplicación está desarrollada en Visual Studio, .Net, ASP.net, C# y otros como HTML, JQuery, Javascript y el framework Bootstrap 2.</w:t>
      </w:r>
    </w:p>
    <w:p>
      <w:pPr>
        <w:pStyle w:val="Normal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360" w:before="0" w:after="0"/>
        <w:jc w:val="both"/>
        <w:rPr/>
      </w:pPr>
      <w:r>
        <w:rPr/>
        <w:t>Servidor de base de datos: manejador de base de datos SQL Server versión 2012.</w:t>
      </w:r>
    </w:p>
    <w:p>
      <w:pPr>
        <w:pStyle w:val="Normal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360" w:before="0" w:after="0"/>
        <w:jc w:val="both"/>
        <w:rPr/>
      </w:pPr>
      <w:r>
        <w:rPr/>
        <w:t>Librería para generar códigos QR: para generar un Código QR y exportarlo en PNG se utilizó la librería QrCode.Net.</w:t>
      </w:r>
    </w:p>
    <w:p>
      <w:pPr>
        <w:pStyle w:val="Normal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360" w:before="0" w:after="0"/>
        <w:jc w:val="both"/>
        <w:rPr/>
      </w:pPr>
      <w:r>
        <w:rPr/>
        <w:t>Librería para generación de PDF: para generar un PDF se utilizó la librería iTextSharp.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360" w:before="0" w:after="0"/>
        <w:jc w:val="both"/>
        <w:rPr/>
      </w:pPr>
      <w:r>
        <w:rPr/>
        <w:t>Librería para el manejo integrado de consultas: para realizar todo tipo de consultas a distintas fuentes de datos: objetos, xmls, bases de datos, etc., se utilizó la librería LINQ.</w:t>
      </w:r>
    </w:p>
    <w:p>
      <w:pPr>
        <w:pStyle w:val="Normal"/>
        <w:widowControl/>
        <w:numPr>
          <w:ilvl w:val="0"/>
          <w:numId w:val="2"/>
        </w:numPr>
        <w:suppressAutoHyphens w:val="true"/>
        <w:overflowPunct w:val="true"/>
        <w:bidi w:val="0"/>
        <w:spacing w:lineRule="auto" w:line="360" w:before="0" w:after="0"/>
        <w:jc w:val="both"/>
        <w:rPr/>
      </w:pPr>
      <w:r>
        <w:rPr/>
        <w:t xml:space="preserve">Librería para el manejo de JSON: </w:t>
      </w:r>
      <w:r>
        <w:rPr/>
        <w:t xml:space="preserve">para </w:t>
      </w:r>
      <w:r>
        <w:rPr/>
        <w:t>realizar conversiones y serializar en JSON</w:t>
      </w:r>
      <w:r>
        <w:rPr/>
        <w:t xml:space="preserve">  se utilizó la librería </w:t>
      </w:r>
      <w:r>
        <w:rPr/>
        <w:t>Newtonsoft.Json</w:t>
      </w:r>
      <w:r>
        <w:rPr/>
        <w:t>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3" w:name="__RefHeading__751_2041396739"/>
      <w:bookmarkEnd w:id="3"/>
      <w:r>
        <w:rPr/>
        <w:t>Versión 001. Implementación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primera versión se instaló, configuró y se puso en marcha el módulo de matrícula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001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-001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  <w:r>
              <w:rPr/>
              <w:t xml:space="preserve"> de </w:t>
            </w:r>
            <w:r>
              <w:rPr/>
              <w:t>Abril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Lucero Vivas, </w:t>
            </w:r>
            <w:r>
              <w:rPr/>
              <w:t>Ivan Dario Perilla y Jhony Alexander Rocha Avendaño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Instalar, configurar y poner en marcha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Restaurar copia de seguridad de las base de datos SPE_AS_DB y SPE_FormacionTrabajo con los datos iniciales del proyecto Talentos para el empleo.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Crear un usuario administrador de las bases de datos restauradas llamado redempleo con clave </w:t>
            </w:r>
            <w:r>
              <w:rPr>
                <w:u w:val="single"/>
              </w:rPr>
              <w:t>Unidad2015*</w:t>
            </w:r>
            <w:r>
              <w:rPr>
                <w:u w:val="none"/>
              </w:rPr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Asignar permisos al usuario redempleo de lectura, escritura y propietario.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Ejecutar script de carga inicial de preinscritos.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“</w:t>
            </w:r>
            <w:r>
              <w:rPr>
                <w:color w:val="007826"/>
                <w:sz w:val="16"/>
                <w:szCs w:val="16"/>
              </w:rPr>
              <w:t>1-insert_inicial_preinscritos.sql</w:t>
            </w:r>
            <w:r>
              <w:rPr>
                <w:color w:val="007826"/>
                <w:sz w:val="16"/>
                <w:szCs w:val="16"/>
              </w:rPr>
              <w:t>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el proyecto Web en el IIS “Internet Information Services”.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Actualizar la cadena de conexión a la base de datos. </w:t>
            </w:r>
            <w:r>
              <w:rPr/>
              <w:t>Archivo: 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&lt;connectionStrings&gt;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name="AppServices" connectionString="Server=MinTrab19.mintrabajo.loc\SQLSVR2012;Database=SPE_AS_DB;persist security info=True;User Id=redempleo;Password=Unidad2015*;" providerName="System.Data.SqlClient"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name="FormacionTrabajoConnectionString" connectionString="Data Source=MinTrab19.mintrabajo.loc\SQLSVR2012;Initial Catalog=SPE_FormacionTrabajo;User ID=redempleo;Password=Unidad2015*;MultipleActiveResultSets=True;Application Name=EntityFramework" providerName="System.Data.SqlClient"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name="FormacionTrabajoEntities" connectionString="metadata=res://*/ModeloFormacion.csdl|res://*/ModeloFormacion.ssdl|res://*/ModeloFormacion.msl;provider=System.Data.SqlClient;provider connection string=&amp;quot;data source=MinTrab19.mintrabajo.loc\SQLSVR2012;initial catalog=SPE_FormacionTrabajo;user ID=redempleo;password=Unidad2015*;MultipleActiveResultSets=True;App=EntityFramework&amp;quot;" providerName="System.Data.EntityClient"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name="MemberShipEntities" connectionString="metadata=res://*/MemberShipModel.csdl|res://*/MemberShipModel.ssdl|res://*/MemberShipModel.msl;provider=System.Data.SqlClient;provider connection string=&amp;quot;data source=MinTrab19.mintrabajo.loc\SQLSVR2012;initial catalog=SPE_AS_DB;user ID=redempleo;password=Unidad2015*;MultipleActiveResultSets=True;App=EntityFramework&amp;quot;" providerName="System.Data.EntityClient"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</w:t>
            </w:r>
            <w:r>
              <w:rPr>
                <w:color w:val="007826"/>
                <w:sz w:val="16"/>
                <w:szCs w:val="16"/>
              </w:rPr>
              <w:t>&lt;/connectionStrings&gt;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el enrutamiento de la aplicación de acuerdo a la carpeta donde se configuró el proyecto WEB. </w:t>
            </w:r>
            <w:r>
              <w:rPr/>
              <w:t>Archivo:</w:t>
            </w:r>
            <w:r>
              <w:rPr/>
              <w:t xml:space="preserve"> </w:t>
            </w:r>
            <w:r>
              <w:rPr/>
              <w:t>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key="RutaServidor" value="/FTTalentosEmpleo/"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</w:rPr>
            </w:pPr>
            <w:r>
              <w:rPr>
                <w:color w:val="007826"/>
                <w:sz w:val="16"/>
                <w:szCs w:val="16"/>
              </w:rPr>
              <w:t>&lt;/appSettings&gt;</w:t>
            </w:r>
            <w:r>
              <w:rPr>
                <w:color w:val="007826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la ruta de almacenamiento de documentos generados y subidos en el aplicativo Talentos para el empleo. </w:t>
            </w:r>
            <w:r>
              <w:rPr/>
              <w:t>Archivo:</w:t>
            </w:r>
            <w:r>
              <w:rPr/>
              <w:t xml:space="preserve"> </w:t>
            </w:r>
            <w:r>
              <w:rPr/>
              <w:t>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key="RutaCarpetaElectronica" value="E:\SPEFormacion\CarpetaElectronica\"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key="RutaCarpetaElectronicaPersonas" value="E:\SPEFormacion\CarpetaElectronicaPersonas\"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key="RutaCarpetaElectronicaCargues" value="E:\SPEFormacion\CarpetaElectronicaCargues\"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key="RutaCarpetaElectronicaSeguimiento" value="E:\SPEFormacion\CarpetaElectronicaSeguimiento\"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key="RutaCarpetaElectronicaNovedades" value="E:\SPEFormacion\CarpetaElectronicaNovedades\"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key="RutaCarpetaElectronicaModulos" value="E:\SPEFormacion\CarpetaElectronicaModulos\"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</w:rPr>
            </w:pPr>
            <w:r>
              <w:rPr>
                <w:color w:val="007826"/>
                <w:sz w:val="16"/>
                <w:szCs w:val="16"/>
              </w:rPr>
              <w:t>&lt;/appSettings&gt;</w:t>
            </w:r>
            <w:r>
              <w:rPr>
                <w:color w:val="007826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Compilar el proyecto Talentos para el Empleo con la configuración de los pasos 5, 6 y 7; teniendo conexión a la red donde se encuentra el servidor de base de datos.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Direccionar el subdominio becas.serviciodeempleo.gov.co a la dirección http://app2.mintrabajo.gov.co/FTTalentosEmpleo/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4" w:name="__RefHeading__529_1167730872"/>
      <w:bookmarkEnd w:id="4"/>
      <w:r>
        <w:rPr/>
        <w:t>Versión 00</w:t>
      </w:r>
      <w:r>
        <w:rPr/>
        <w:t>2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matrícula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2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002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/>
              <w:t>0</w:t>
            </w:r>
            <w:r>
              <w:rPr/>
              <w:t>0</w:t>
            </w:r>
            <w:r>
              <w:rPr/>
              <w:t>2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  <w:r>
              <w:rPr/>
              <w:t xml:space="preserve"> de </w:t>
            </w:r>
            <w:r>
              <w:rPr/>
              <w:t>Abril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Lucero Vivas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5" w:name="__RefHeading__2100_1487805163"/>
      <w:bookmarkEnd w:id="5"/>
      <w:r>
        <w:rPr/>
        <w:t>Versión 00</w:t>
      </w:r>
      <w:r>
        <w:rPr/>
        <w:t>3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seguimiento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3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0003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-000</w:t>
            </w:r>
            <w:r>
              <w:rPr/>
              <w:t>3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07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 Avendaño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>Ejecutar el script d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u w:val="none"/>
                <w:lang w:val="es-CO" w:eastAsia="en-US" w:bidi="ar-SA"/>
              </w:rPr>
              <w:t>e creación</w:t>
            </w: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 xml:space="preserve"> de tabla para la entidad planilla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u w:val="none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>.</w:t>
            </w:r>
            <w:r>
              <w:rPr>
                <w:u w:val="none"/>
              </w:rPr>
              <w:t xml:space="preserve"> 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1-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create_table_seguimiento_planilla.sql”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detalle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create_table_seguimiento_planilla_detalle.sql”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documento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create_table_seguimiento_planilla_documento.sql”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color w:val="007826"/>
                <w:sz w:val="16"/>
                <w:szCs w:val="16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novedad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create_table_seguimiento_planilla_novedad.sql”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color w:val="007826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descarga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create_table_seguimiento_planilla_descarga.sql”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script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la inserción de los estados de las planillas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 xml:space="preserve">alter_table_codigo_referencia_nombre_corto.sql”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insert_table_codigo_referencia_estado_planilla.sql”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para la modificación de la descripción de jornada matinal por jornada mañana.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update_codigo_referencia_matinal.sql”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para agregar la fecha de permiso para subir una planilla en una fecha anterior a la fecha actual de la aplicación.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alter_table_institucion_formacion_programa_jornada_fecha_planilla_anterior.sql”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script para la actualización de roles del sistema Institución y Unidad.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Script actualizar roles Institucion – Unidad.xls”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script para insertar las nuevas rutas del proyecto junto con su respectivo rol.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Script insertar nuevas rutas vs roles 001.xls”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Eliminar de la Entidad Formacion Beneficiario la primativa UK_Beneficiario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Agregar en el archivo de configuración “web.config” la carpeta de rutas para el módulo de seguimiento.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key="RutaCarpetaElectronicaSeguimiento" value="E:\SPEFormacion\CarpetaElectronicaSeguimiento\"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lang w:val="es-CO" w:eastAsia="en-US" w:bidi="ar-SA"/>
              </w:rPr>
              <w:t>&lt;/appSettings&gt;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14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6" w:name="__RefHeading__2102_1487805163"/>
      <w:bookmarkEnd w:id="6"/>
      <w:r>
        <w:rPr/>
        <w:t>Versión 00</w:t>
      </w:r>
      <w:r>
        <w:rPr/>
        <w:t>4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preinscripción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4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004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4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19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Agregar en el archivo de configuración “web.config” la carpeta de rutas para el módulo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preinscrición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key="RutaCarpetaElectronicaPreinscripcion" value="E:\SPEFormacion\CarpetaElectronicaPreinscripcion\"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lang w:val="es-CO" w:eastAsia="en-US" w:bidi="ar-SA"/>
              </w:rPr>
              <w:t>&lt;/appSettings&gt;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20"/>
                <w:szCs w:val="24"/>
                <w:u w:val="none"/>
                <w:lang w:val="es-CO" w:eastAsia="en-US" w:bidi="ar-SA"/>
              </w:rPr>
              <w:t xml:space="preserve"> 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fecha corte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la entidad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potencial beneficiario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0-update_potencial_beneficiario_fecha_corte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.sql”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cambio de rutas para la nueva estructura del sitio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1-Cambio Rutas Nueva Estructura Site.sql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Ejecutar el script de inserción de rutas de soporte planilla novedad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2-insert_rutas_soporte_planilla_novedad.sql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roles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de centro de empleo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3-insert_aspnet_roles_centro_empleo.sql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usuarios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de centro de empleo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4-insert_aspnet_user_centro_empleo.sql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tipo de novedad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5-insert_table_novedad_tipo.sql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actualización de valores null a cero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en la tabla paquete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6-update_paquete_cupos_null_cero.sql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tipo de dato INT del campo cupos en la tabla paquete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7-alter_table_paquete_cupos_int.sql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rutas para preinscripción en la tabla aspnet_paths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8-insert_aspnet_paths_preinscripcion.sql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creación de tabla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9-create_table_centro_empleo_usuario.sql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usuarios centro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10-insert_table_centro_empleo_usuarios.sql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formato código centro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11-update_centros_empleo_formato_codigos.sql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nombre de la convocatoria en la tabla periodo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12-update_periodo_formacion_nombre_periodo_1.sql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rutas de acceso para la unidad al módulo de seguimiento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13-insert_rutas_unidad_seguimiento_reporte.sql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tipos de soportes en la tabla código de referencia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14-insert_codigo_referencia_tipo_soportes_preinscripcion.sql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7" w:name="__RefHeading__3972_1487805163"/>
      <w:bookmarkEnd w:id="7"/>
      <w:r>
        <w:rPr/>
        <w:t>Versión 00</w:t>
      </w:r>
      <w:r>
        <w:rPr/>
        <w:t>5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 y configuró el módulo de preinscripción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5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005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5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21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actualización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columna idPaquete de la tabla formación beneficiario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1-alter_column_formacion_beneficiario_idpaquete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.sql”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8" w:name="__RefHeading__3974_1487805163"/>
      <w:bookmarkEnd w:id="8"/>
      <w:r>
        <w:rPr/>
        <w:t>Versión 00</w:t>
      </w:r>
      <w:r>
        <w:rPr/>
        <w:t>6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 xml:space="preserve">En esta versión se actualizó y configuró el aplicativo para el manejo de paquetes de formación de tipo validación con un sólo programa y dos módulos, </w:t>
      </w:r>
      <w:r>
        <w:rPr>
          <w:lang w:val="es-ES"/>
        </w:rPr>
        <w:t>la administración de cambio de jornada para el perfil de institución de formación,</w:t>
      </w:r>
      <w:r>
        <w:rPr>
          <w:lang w:val="es-ES"/>
        </w:rPr>
        <w:t xml:space="preserve"> la validación de control de fechas por cada uno de los procesos </w:t>
      </w:r>
      <w:r>
        <w:rPr>
          <w:lang w:val="es-ES"/>
        </w:rPr>
        <w:t xml:space="preserve">de preinscripción, matrícula, seguimiento y cierre, </w:t>
      </w:r>
      <w:r>
        <w:rPr>
          <w:lang w:val="es-ES"/>
        </w:rPr>
        <w:t>módulo de cierre y su formalización con documentos soportes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6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006.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6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09</w:t>
            </w:r>
            <w:r>
              <w:rPr/>
              <w:t xml:space="preserve"> de </w:t>
            </w:r>
            <w:r>
              <w:rPr/>
              <w:t>Junio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programas de formación de tipo validación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1-insert_paquetes_validacion_decimo_once.sql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control de fechas de los procesos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2-alter_procedimiento_almacenado_control_fechas.sql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roles para la funcionalidad de cambio de jornada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3-insert path_pathroles_cambiarjornada.sql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campo idPeriodo a Bigint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tabla paquete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4-alter_table_paquete_idPeriodo.sql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usuario de centro de empleo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5-insert_user_centro_empleo.sql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9" w:name="__RefHeading__5881_1487805163"/>
      <w:bookmarkEnd w:id="9"/>
      <w:r>
        <w:rPr/>
        <w:t>Versión 00</w:t>
      </w:r>
      <w:r>
        <w:rPr/>
        <w:t>7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 la convocatoria No. 2, módulo de cierre de la convocatoria No. 1,</w:t>
      </w:r>
      <w:r>
        <w:rPr>
          <w:lang w:val="es-ES" w:eastAsia="en-US" w:bidi="ar-SA"/>
        </w:rPr>
        <w:t xml:space="preserve"> el cálculo del porcentaje de asistencia de los beneficiarios</w:t>
      </w:r>
      <w:r>
        <w:rPr>
          <w:lang w:val="es-CO" w:eastAsia="en-US" w:bidi="ar-SA"/>
        </w:rPr>
        <w:t xml:space="preserve">. </w:t>
      </w:r>
      <w:r>
        <w:rPr>
          <w:lang w:val="es-CO" w:eastAsia="en-US" w:bidi="ar-SA"/>
        </w:rPr>
        <w:t xml:space="preserve">En el reporte de seguimiento (planillas) y en la funcionalidad de anular planillas se </w:t>
      </w:r>
      <w:r>
        <w:rPr>
          <w:lang w:val="es-ES" w:eastAsia="en-US" w:bidi="ar-SA"/>
        </w:rPr>
        <w:t>ajustarón</w:t>
      </w:r>
      <w:r>
        <w:rPr>
          <w:lang w:val="es-CO" w:eastAsia="en-US" w:bidi="ar-SA"/>
        </w:rPr>
        <w:t xml:space="preserve"> los filtros, para que se tenga en cuenta en el listado de paquetes la convocatoria seleccionada. Adicionalmente en el reporte de seguimiento se </w:t>
      </w:r>
      <w:r>
        <w:rPr>
          <w:lang w:val="es-ES" w:eastAsia="en-US" w:bidi="ar-SA"/>
        </w:rPr>
        <w:t>deshabilitó</w:t>
      </w:r>
      <w:r>
        <w:rPr>
          <w:lang w:val="es-CO" w:eastAsia="en-US" w:bidi="ar-SA"/>
        </w:rPr>
        <w:t xml:space="preserve"> el botón descargar, cuando el estado de la planilla es Generada.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7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007.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7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30</w:t>
            </w:r>
            <w:r>
              <w:rPr/>
              <w:t xml:space="preserve"> de </w:t>
            </w:r>
            <w:r>
              <w:rPr/>
              <w:t>Junio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rutas de acceso a la funcionalidad de seguimiento de la convocatoria No. 2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1-insert_paths_seguimiento_convocatoria_2.sql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para el módulo de cierre de paquetes con un sólo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2-insert_paths_cierre_modulo_paquete_un_programa.sql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del contenido del campo cantidad de módulos en la tabla programa jornada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3-update_programa_jornada_cantidad_modulos.sql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la tabla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4-create_table_cierre_modulo.sql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la tabla novedades de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5-create_table_cierre_modulo_novedad.sql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tipo de soportes en la tabla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6-insert_tipo_soporte_cierre_modulo.sql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rutas de acceso al módulo de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7-insert_paths_cierre_modulo_soportes.sql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l estado no aprobado en la tabla de código de referencia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8-insert_estado_no_aprobado.sql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en la tabla formación beneficiario para agregar el campo de porcentaje de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9-alter_table_add_porcentaje_asistencia.sql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0" w:name="__RefHeading__5883_1487805163"/>
      <w:bookmarkEnd w:id="10"/>
      <w:r>
        <w:rPr/>
        <w:t>Versión 00</w:t>
      </w:r>
      <w:r>
        <w:rPr>
          <w:lang w:val="es-ES"/>
        </w:rPr>
        <w:t>8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manejo de </w:t>
      </w:r>
      <w:r>
        <w:rPr>
          <w:lang w:val="es-ES" w:eastAsia="en-US" w:bidi="ar-SA"/>
        </w:rPr>
        <w:t>modificar documentos soportes de cierre de módulo</w:t>
      </w:r>
      <w:r>
        <w:rPr>
          <w:lang w:val="es-CO" w:eastAsia="en-US" w:bidi="ar-SA"/>
        </w:rPr>
        <w:t xml:space="preserve"> y </w:t>
      </w:r>
      <w:r>
        <w:rPr>
          <w:lang w:val="es-ES" w:eastAsia="en-US" w:bidi="ar-SA"/>
        </w:rPr>
        <w:t>los</w:t>
      </w:r>
      <w:r>
        <w:rPr>
          <w:lang w:val="es-CO" w:eastAsia="en-US" w:bidi="ar-SA"/>
        </w:rPr>
        <w:t xml:space="preserve"> </w:t>
      </w:r>
      <w:r>
        <w:rPr>
          <w:lang w:val="es-ES" w:eastAsia="en-US" w:bidi="ar-SA"/>
        </w:rPr>
        <w:t>reportes del</w:t>
      </w:r>
      <w:r>
        <w:rPr>
          <w:lang w:val="es-CO" w:eastAsia="en-US" w:bidi="ar-SA"/>
        </w:rPr>
        <w:t xml:space="preserve"> módulo de cierre de la convocatoria No. 1</w:t>
      </w:r>
      <w:r>
        <w:rPr>
          <w:lang w:val="es-CO" w:eastAsia="en-US" w:bidi="ar-SA"/>
        </w:rPr>
        <w:t xml:space="preserve">.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8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8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>
                <w:lang w:val="es-ES"/>
              </w:rPr>
              <w:t>8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07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rutas de acceso a la funcionalidad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modificacar soportes de cierre de módulo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1-insert_paths_modificar_soporte_cierre_modulo.sql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inserción de rutas de acceso para el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reporte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cierre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de módulo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2-insert_paths_reporte_unidad_cierre_modulo.sql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actualización del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campos porcentaje de asistencia a tipo string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en la tabla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formación beneficiario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3-alter_table_porcentaje_asistencia_string.sql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1" w:name="__RefHeading__5885_1487805163"/>
      <w:bookmarkEnd w:id="11"/>
      <w:r>
        <w:rPr/>
        <w:t>Versión 00</w:t>
      </w:r>
      <w:r>
        <w:rPr>
          <w:lang w:val="es-ES"/>
        </w:rPr>
        <w:t>9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</w:t>
      </w:r>
      <w:r>
        <w:rPr>
          <w:lang w:val="es-ES" w:eastAsia="en-US" w:bidi="ar-SA"/>
        </w:rPr>
        <w:t>c</w:t>
      </w:r>
      <w:r>
        <w:rPr>
          <w:lang w:val="es-CO" w:eastAsia="en-US" w:bidi="ar-SA"/>
        </w:rPr>
        <w:t xml:space="preserve">ierre de </w:t>
      </w:r>
      <w:r>
        <w:rPr>
          <w:lang w:val="es-ES" w:eastAsia="en-US" w:bidi="ar-SA"/>
        </w:rPr>
        <w:t>m</w:t>
      </w:r>
      <w:r>
        <w:rPr>
          <w:lang w:val="es-CO" w:eastAsia="en-US" w:bidi="ar-SA"/>
        </w:rPr>
        <w:t xml:space="preserve">ódulo, </w:t>
      </w:r>
      <w:r>
        <w:rPr>
          <w:lang w:val="es-ES" w:eastAsia="en-US" w:bidi="ar-SA"/>
        </w:rPr>
        <w:t xml:space="preserve">reporte de </w:t>
      </w:r>
      <w:r>
        <w:rPr>
          <w:lang w:val="es-ES" w:eastAsia="en-US" w:bidi="ar-SA"/>
        </w:rPr>
        <w:t>b</w:t>
      </w:r>
      <w:r>
        <w:rPr>
          <w:lang w:val="es-CO" w:eastAsia="en-US" w:bidi="ar-SA"/>
        </w:rPr>
        <w:t xml:space="preserve">eneficiarios </w:t>
      </w:r>
      <w:r>
        <w:rPr>
          <w:lang w:val="es-ES" w:eastAsia="en-US" w:bidi="ar-SA"/>
        </w:rPr>
        <w:t xml:space="preserve">y </w:t>
      </w:r>
      <w:r>
        <w:rPr>
          <w:lang w:val="es-ES" w:eastAsia="en-US" w:bidi="ar-SA"/>
        </w:rPr>
        <w:t xml:space="preserve">sus </w:t>
      </w:r>
      <w:r>
        <w:rPr>
          <w:lang w:val="es-ES" w:eastAsia="en-US" w:bidi="ar-SA"/>
        </w:rPr>
        <w:t>e</w:t>
      </w:r>
      <w:r>
        <w:rPr>
          <w:lang w:val="es-CO" w:eastAsia="en-US" w:bidi="ar-SA"/>
        </w:rPr>
        <w:t xml:space="preserve">stados, </w:t>
      </w:r>
      <w:r>
        <w:rPr>
          <w:lang w:val="es-ES" w:eastAsia="en-US" w:bidi="ar-SA"/>
        </w:rPr>
        <w:t>cambio de la lógica de formalización de cierre de paquete para la convocatoria No. 1, ajuste en la descarga de documentos soportes de matrícula y preinscripción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En esta puesta en producción no se realizó ningún cambio sobre la base de datos.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9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9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>
                <w:lang w:val="es-ES"/>
              </w:rPr>
              <w:t>9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21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2" w:name="__RefHeading__5887_1487805163"/>
      <w:bookmarkEnd w:id="12"/>
      <w:r>
        <w:rPr/>
        <w:t>Versión 0</w:t>
      </w:r>
      <w:r>
        <w:rPr>
          <w:lang w:val="es-ES"/>
        </w:rPr>
        <w:t>10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</w:t>
      </w:r>
      <w:r>
        <w:rPr>
          <w:lang w:val="es-ES" w:eastAsia="en-US" w:bidi="ar-SA"/>
        </w:rPr>
        <w:t>c</w:t>
      </w:r>
      <w:r>
        <w:rPr>
          <w:lang w:val="es-CO" w:eastAsia="en-US" w:bidi="ar-SA"/>
        </w:rPr>
        <w:t xml:space="preserve">ierre de </w:t>
      </w:r>
      <w:r>
        <w:rPr>
          <w:lang w:val="es-ES" w:eastAsia="en-US" w:bidi="ar-SA"/>
        </w:rPr>
        <w:t>m</w:t>
      </w:r>
      <w:r>
        <w:rPr>
          <w:lang w:val="es-CO" w:eastAsia="en-US" w:bidi="ar-SA"/>
        </w:rPr>
        <w:t xml:space="preserve">ódulo, </w:t>
      </w:r>
      <w:r>
        <w:rPr>
          <w:lang w:val="es-ES" w:eastAsia="en-US" w:bidi="ar-SA"/>
        </w:rPr>
        <w:t xml:space="preserve">reporte de </w:t>
      </w:r>
      <w:r>
        <w:rPr>
          <w:lang w:val="es-ES" w:eastAsia="en-US" w:bidi="ar-SA"/>
        </w:rPr>
        <w:t>b</w:t>
      </w:r>
      <w:r>
        <w:rPr>
          <w:lang w:val="es-CO" w:eastAsia="en-US" w:bidi="ar-SA"/>
        </w:rPr>
        <w:t xml:space="preserve">eneficiarios </w:t>
      </w:r>
      <w:r>
        <w:rPr>
          <w:lang w:val="es-ES" w:eastAsia="en-US" w:bidi="ar-SA"/>
        </w:rPr>
        <w:t xml:space="preserve">y </w:t>
      </w:r>
      <w:r>
        <w:rPr>
          <w:lang w:val="es-ES" w:eastAsia="en-US" w:bidi="ar-SA"/>
        </w:rPr>
        <w:t xml:space="preserve">sus </w:t>
      </w:r>
      <w:r>
        <w:rPr>
          <w:lang w:val="es-ES" w:eastAsia="en-US" w:bidi="ar-SA"/>
        </w:rPr>
        <w:t>e</w:t>
      </w:r>
      <w:r>
        <w:rPr>
          <w:lang w:val="es-CO" w:eastAsia="en-US" w:bidi="ar-SA"/>
        </w:rPr>
        <w:t>stados, r</w:t>
      </w:r>
      <w:r>
        <w:rPr>
          <w:lang w:val="es-ES" w:eastAsia="en-US" w:bidi="ar-SA"/>
        </w:rPr>
        <w:t>eporte</w:t>
      </w:r>
      <w:r>
        <w:rPr>
          <w:lang w:val="es-ES" w:eastAsia="en-US" w:bidi="ar-SA"/>
        </w:rPr>
        <w:t xml:space="preserve"> </w:t>
      </w:r>
      <w:r>
        <w:rPr>
          <w:lang w:val="es-ES" w:eastAsia="en-US" w:bidi="ar-SA"/>
        </w:rPr>
        <w:t>de asistencia por beneficiario, reporte de cupos y reporte de planillas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10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10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10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7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1-insert_paths_reporte_unidad_beneficiario_estado.sql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procedimiento almacenado para el reporte de asistencia por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2-create_sp_reporte_beneficiario_asistencia.sql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creación de procedimiento almacenado para el reporte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cupos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por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paquete y programa de formación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3-create_sp_reporte_cupos.sql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creación de procedimiento almacenado para el reporte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planillas generadas por programa de formación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4-create_sp_reporte_planillas.sql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de l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os valores de cupos en la tabla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5-actualizacion_cupos_paquete.sql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estado cerrado de módulo en la tabla de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6-insert-codigo-referencia-estado-cerrado.sql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3" w:name="__RefHeading__4255_1439298752"/>
      <w:bookmarkEnd w:id="13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1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beneficiarios y sus estados y la funcionalidad de </w:t>
      </w:r>
      <w:r>
        <w:rPr>
          <w:lang w:val="es-ES" w:eastAsia="en-US" w:bidi="ar-SA"/>
        </w:rPr>
        <w:t>control de fechas por programa y departamento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11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1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1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9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1-insert_paths_reporte_unidad_beneficiario_estado.sql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4" w:name="__RefHeading__4257_1439298752"/>
      <w:bookmarkEnd w:id="14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2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del gestor de documentos soportes de beneficiarios, el reporte de beneficiarios con estado aprobado por la institución, funcionalidad de cálculo de edad a partir de la fecha de nacimiento, funcionalidad de generación de planillas y funcionalidad de administración de control de fechas de los procesos preinscripción, matrícula, seguimiento y cierre.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12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2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2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13</w:t>
            </w:r>
            <w:r>
              <w:rPr/>
              <w:t xml:space="preserve"> de </w:t>
            </w:r>
            <w:r>
              <w:rPr>
                <w:lang w:val="es-ES"/>
              </w:rPr>
              <w:t>Agosto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inserción de rutas de acceso 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la administración de control de fechas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1-insert_paths_admin_fechas.sql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2-insert_paths_gestor_documentos_soporte_beneficiario.sql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jornada para agregar los campos de fecha de inicio y fin del módulo de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3-alter_table_jornada_fechas_cierre.sql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de la tabla jornada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 auditoria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agregar los campos de fecha de inicio y fin del módulo de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4-alter_table_aud_jornada_fechas_cierre.sql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modificación del disparador de actualización de la tabla de jornada de auditoría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5-alter_disparador_jornada_fechas_cierre.sql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procedimiento almacenado de control de fechas del proceso de seguimiento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6-create_procedimiento_almacenado_control_fechas_programa.sql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modificación de documentos soportes activos de los beneficiarios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7-ajuste_documento_soporte.sql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5" w:name="__RefHeading__4259_1439298752"/>
      <w:bookmarkEnd w:id="15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3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 verificación de beneficiarios aprobados y la funcionalidad de control de fechas de los procesos de preinscripción, matrícula, seguimiento y cierre.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13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3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3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4</w:t>
            </w:r>
            <w:r>
              <w:rPr/>
              <w:t xml:space="preserve"> de </w:t>
            </w:r>
            <w:r>
              <w:rPr>
                <w:lang w:val="es-ES"/>
              </w:rPr>
              <w:t>Septiembre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procedimiento almacenado para el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control de fechas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del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1-alter_sp_control_fechas_proceso_programa.sql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modificación de la tabla formación beneficiario agregando los campos de verificado, descripción de la verificación y usuario que realiza la verificación de los beneficiarios aprobados por la unidad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2-add_column_formacion_beneficiario.sql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del disparador para la tabla formación beneficiario y su actualización de auditoría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3-alter_tigger_formacion_beneficiario.sql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a la funcionalidad de verificación de beneficiarios aprobados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4-insert_path_verificacion_beneficiario_aprobado.sql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modificación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de las fechas de inicio y fin de los procesos de preinscripción, matrícula, seguimiento y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5-update_fechas_control_fechas.sql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6" w:name="__RefHeading__4261_1439298752"/>
      <w:bookmarkEnd w:id="16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4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verificación de beneficiarios aprobados y su respectiva paginación. En esta puesta en producción no se realizó ningún cambio sobre la base de datos.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14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4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4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7</w:t>
            </w:r>
            <w:r>
              <w:rPr/>
              <w:t xml:space="preserve"> de </w:t>
            </w:r>
            <w:r>
              <w:rPr>
                <w:lang w:val="es-ES"/>
              </w:rPr>
              <w:t>Septiembre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7" w:name="__RefHeading__4263_1439298752"/>
      <w:bookmarkEnd w:id="17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5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control de generación de planillas según el total de planillas y el total de grupos del programa, funcionalidad para la administración de convocatorias, fases, instituciones, sedes, contactos, paquetes, programas y su respectiva asignación de programas a un paquete determinado.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15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5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5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 xml:space="preserve">23 </w:t>
            </w:r>
            <w:r>
              <w:rPr/>
              <w:t xml:space="preserve">de </w:t>
            </w:r>
            <w:r>
              <w:rPr>
                <w:lang w:val="es-ES"/>
              </w:rPr>
              <w:t>Octubre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las rutas de acceso para el control de fechas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1-update-path-control-fechas.sql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para la administración de convocatorias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2-insert_path_periodo.sql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las ocupaciones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3-update_ocupaciones.sql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para la administración de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4-insert_path_institucion.sql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selección de sedes administrativas para las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5-update_sede_administrativa.sql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los contactos de las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6-update_contacto_institucion.sql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las clases de institución en la tabla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7-delete_clase_institucion.sql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limpieza de datos de experiencia y soporte de institución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8-delete_experiencia_soporte_institucion.sql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rutas de acceso para la administración de las sedes por institución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9-insert_path_sede.sql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rutas de acceso para la administración de paquetes de formación por sede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10-insert_path_paquete.sql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paquete para agregar el campo de costo del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11-add_column_costo_paquete.sql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INSTITUCION_FORMACION_PAQUETE para agregar una secuencia lógica para el manejo automático del identificador de la tabla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en la base de datos. Tener cuidado con esta ejecución, dado el caso que se debe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realizar un backup a la tabla INSTITUCION_FORMACION_PAQUETE.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12-INSTITUCION_FORMACION_PAQUETE.sql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en la tabla código de referencia de los códigos de tipo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13-insert_codigo_tipo_paquete.sql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paquete agregando el campo tipo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14-add_column_tipo_paquete.sql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a la administración de programas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15-insert_path_programa.sql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programa agregando el campo tipo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16-add_column_tipo_programa.sql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datos de programas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17-update_datos_programa.sql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en la tabla paquete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programa para agregar los campos de total planillas y total grupos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18-add_column_total_planilla_grupo_paquete_programa.sql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8" w:name="__RefHeading__4265_1439298752"/>
      <w:bookmarkEnd w:id="18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6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cierre de módulo en diferentes sedes, reporte de asistencia de beneficiarios por paquete, reporte de cupos por paquete, y administración de centros de empleo.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16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6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6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30</w:t>
            </w:r>
            <w:r>
              <w:rPr/>
              <w:t xml:space="preserve"> de </w:t>
            </w:r>
            <w:r>
              <w:rPr>
                <w:lang w:val="es-ES"/>
              </w:rPr>
              <w:t>Noviembre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 inserción de rutas de acceso a la administración de centros de empleo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procedimiento almacenado del reporte de beneficiarios y su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2-alter-sp_BeneficiarioAsistenciaList.sql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procedimiento almacenado del reporte de cupos por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3-alter-sp_reporteCuposList.sql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701" w:right="1701" w:header="708" w:top="2515" w:footer="0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imSun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 xml:space="preserve">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Encabezamiento"/>
      <w:tabs>
        <w:tab w:val="left" w:pos="1020" w:leader="none"/>
        <w:tab w:val="center" w:pos="4419" w:leader="none"/>
        <w:tab w:val="center" w:pos="4680" w:leader="none"/>
        <w:tab w:val="right" w:pos="8838" w:leader="none"/>
      </w:tabs>
      <w:rPr>
        <w:sz w:val="14"/>
      </w:rPr>
    </w:pPr>
    <w:r>
      <w:rPr>
        <w:sz w:val="14"/>
      </w:rPr>
      <w:tab/>
      <w:tab/>
    </w:r>
  </w:p>
  <w:p>
    <w:pPr>
      <w:pStyle w:val="Encabezamiento"/>
      <w:jc w:val="center"/>
      <w:rPr>
        <w:sz w:val="14"/>
      </w:rPr>
    </w:pPr>
    <w:r>
      <w:rPr>
        <w:sz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153" w:leader="none"/>
        <w:tab w:val="center" w:pos="4419" w:leader="none"/>
        <w:tab w:val="right" w:pos="8306" w:leader="none"/>
        <w:tab w:val="right" w:pos="8838" w:leader="none"/>
      </w:tabs>
      <w:rPr>
        <w:sz w:val="18"/>
      </w:rPr>
    </w:pPr>
    <w:r>
      <w:rPr>
        <w:sz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153" w:leader="none"/>
        <w:tab w:val="center" w:pos="4419" w:leader="none"/>
        <w:tab w:val="right" w:pos="8306" w:leader="none"/>
        <w:tab w:val="right" w:pos="883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532"/>
      <w:gridCol w:w="1752"/>
      <w:gridCol w:w="1200"/>
      <w:gridCol w:w="4876"/>
    </w:tblGrid>
    <w:tr>
      <w:trPr/>
      <w:tc>
        <w:tcPr>
          <w:tcW w:w="153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75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53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5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53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5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32</w:t>
          </w:r>
          <w:r>
            <w:fldChar w:fldCharType="end"/>
          </w:r>
        </w:p>
      </w:tc>
    </w:tr>
  </w:tbl>
  <w:p>
    <w:pPr>
      <w:pStyle w:val="Encabezamiento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38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445"/>
      <w:gridCol w:w="1839"/>
      <w:gridCol w:w="1137"/>
      <w:gridCol w:w="4417"/>
    </w:tblGrid>
    <w:tr>
      <w:trPr/>
      <w:tc>
        <w:tcPr>
          <w:tcW w:w="1445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839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39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39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32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38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445"/>
      <w:gridCol w:w="1792"/>
      <w:gridCol w:w="1184"/>
      <w:gridCol w:w="4417"/>
    </w:tblGrid>
    <w:tr>
      <w:trPr/>
      <w:tc>
        <w:tcPr>
          <w:tcW w:w="1445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79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9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9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32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s-CO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jc w:val="both"/>
    </w:pPr>
    <w:rPr>
      <w:rFonts w:ascii="Tahoma" w:hAnsi="Tahoma" w:eastAsia="Times New Roman" w:cs="Times New Roman"/>
      <w:color w:val="111111"/>
      <w:sz w:val="24"/>
      <w:szCs w:val="24"/>
      <w:lang w:val="es-CO" w:eastAsia="en-US" w:bidi="ar-SA"/>
    </w:rPr>
  </w:style>
  <w:style w:type="paragraph" w:styleId="Encabezado1">
    <w:name w:val="Encabezado 1"/>
    <w:basedOn w:val="Normal"/>
    <w:next w:val="Normal"/>
    <w:pPr>
      <w:keepNext/>
      <w:keepLines/>
      <w:pageBreakBefore/>
      <w:numPr>
        <w:ilvl w:val="0"/>
        <w:numId w:val="0"/>
      </w:numPr>
      <w:spacing w:before="240" w:after="0"/>
      <w:jc w:val="center"/>
      <w:textAlignment w:val="center"/>
      <w:outlineLvl w:val="0"/>
    </w:pPr>
    <w:rPr>
      <w:rFonts w:ascii="Tahoma" w:hAnsi="Tahoma" w:eastAsia="ＭＳ ゴシック" w:cs="Tahoma"/>
      <w:caps/>
      <w:color w:val="333333"/>
      <w:sz w:val="32"/>
      <w:szCs w:val="32"/>
    </w:rPr>
  </w:style>
  <w:style w:type="paragraph" w:styleId="Encabezado2">
    <w:name w:val="Encabezado 2"/>
    <w:basedOn w:val="Normal"/>
    <w:next w:val="Normal"/>
    <w:pPr>
      <w:keepNext/>
      <w:keepLines/>
      <w:numPr>
        <w:ilvl w:val="0"/>
        <w:numId w:val="0"/>
      </w:numPr>
      <w:spacing w:before="40" w:after="0"/>
      <w:outlineLvl w:val="1"/>
    </w:pPr>
    <w:rPr>
      <w:rFonts w:ascii="Cambria" w:hAnsi="Cambria" w:eastAsia="ＭＳ ゴシック" w:cs="Tahoma"/>
      <w:color w:val="365F91"/>
      <w:sz w:val="26"/>
      <w:szCs w:val="26"/>
    </w:rPr>
  </w:style>
  <w:style w:type="paragraph" w:styleId="Encabezado3">
    <w:name w:val="Encabezado 3"/>
    <w:basedOn w:val="Encabezado"/>
    <w:pPr/>
    <w:rPr/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qFormat/>
    <w:rPr>
      <w:rFonts w:ascii="Cambria" w:hAnsi="Cambria" w:eastAsia="ＭＳ ゴシック" w:cs="Tahoma"/>
      <w:color w:val="365F91"/>
      <w:sz w:val="32"/>
      <w:szCs w:val="32"/>
    </w:rPr>
  </w:style>
  <w:style w:type="character" w:styleId="Ttulo2Car">
    <w:name w:val="Título 2 Car"/>
    <w:basedOn w:val="DefaultParagraphFont"/>
    <w:qFormat/>
    <w:rPr>
      <w:rFonts w:ascii="Cambria" w:hAnsi="Cambria" w:eastAsia="ＭＳ ゴシック" w:cs="Tahoma"/>
      <w:color w:val="365F91"/>
      <w:sz w:val="26"/>
      <w:szCs w:val="26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SinespaciadoCar">
    <w:name w:val="Sin espaciado Car"/>
    <w:basedOn w:val="DefaultParagraphFont"/>
    <w:qFormat/>
    <w:rPr>
      <w:rFonts w:eastAsia="ＭＳ 明朝"/>
      <w:lang w:eastAsia="es-CO"/>
    </w:rPr>
  </w:style>
  <w:style w:type="character" w:styleId="TtuloCar">
    <w:name w:val="Título Car"/>
    <w:basedOn w:val="DefaultParagraphFont"/>
    <w:qFormat/>
    <w:rPr>
      <w:rFonts w:ascii="Cambria" w:hAnsi="Cambria" w:eastAsia="ＭＳ ゴシック" w:cs="Tahoma"/>
      <w:color w:val="17365D"/>
      <w:spacing w:val="5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Times New Roman"/>
      <w:sz w:val="20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Times New Roman"/>
      <w:sz w:val="20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SubtleEmphasis">
    <w:name w:val="Subtle Emphasis"/>
    <w:basedOn w:val="DefaultParagraphFont"/>
    <w:qFormat/>
    <w:rPr>
      <w:iCs/>
      <w:color w:val="808080"/>
    </w:rPr>
  </w:style>
  <w:style w:type="character" w:styleId="EnlacedeInternetyavisitado">
    <w:name w:val="Enlace de Internet ya visitado"/>
    <w:basedOn w:val="DefaultParagraphFont"/>
    <w:rPr>
      <w:color w:val="800080"/>
    </w:rPr>
  </w:style>
  <w:style w:type="character" w:styleId="WW8Num3z0">
    <w:name w:val="WW8Num3z0"/>
    <w:qFormat/>
    <w:rPr>
      <w:rFonts w:ascii="SimSun" w:hAnsi="SimSun" w:eastAsia="SimSun" w:cs="SimSun"/>
    </w:rPr>
  </w:style>
  <w:style w:type="character" w:styleId="WW8Num3z1">
    <w:name w:val="WW8Num3z1"/>
    <w:qFormat/>
    <w:rPr/>
  </w:style>
  <w:style w:type="character" w:styleId="WW8Num2z0">
    <w:name w:val="WW8Num2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ListLabel9">
    <w:name w:val="ListLabel 9"/>
    <w:qFormat/>
    <w:rPr>
      <w:rFonts w:cs="Times New Roman"/>
      <w:sz w:val="20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Tahoma" w:hAnsi="Tahoma" w:cs="Wingdings"/>
      <w:sz w:val="20"/>
    </w:rPr>
  </w:style>
  <w:style w:type="character" w:styleId="Enlacedelndice">
    <w:name w:val="Enlace del índice"/>
    <w:qFormat/>
    <w:rPr/>
  </w:style>
  <w:style w:type="character" w:styleId="ListLabel13">
    <w:name w:val="ListLabel 13"/>
    <w:qFormat/>
    <w:rPr>
      <w:rFonts w:cs="Times New Roman"/>
      <w:sz w:val="20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Times New Roman"/>
      <w:sz w:val="20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Times New Roman"/>
      <w:sz w:val="20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16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Encabezamiento">
    <w:name w:val="Encabezamiento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</w:pPr>
    <w:rPr/>
  </w:style>
  <w:style w:type="paragraph" w:styleId="Encabezadodelndice">
    <w:name w:val="Encabezado del índice"/>
    <w:basedOn w:val="Encabezado1"/>
    <w:next w:val="Normal"/>
    <w:pPr>
      <w:spacing w:lineRule="auto" w:line="259"/>
    </w:pPr>
    <w:rPr>
      <w:rFonts w:ascii="Tahoma" w:hAnsi="Tahoma"/>
      <w:caps/>
      <w:color w:val="666666"/>
      <w:lang w:eastAsia="es-CO"/>
    </w:rPr>
  </w:style>
  <w:style w:type="paragraph" w:styleId="Ndice1">
    <w:name w:val="Índice 1"/>
    <w:basedOn w:val="Normal"/>
    <w:next w:val="Normal"/>
    <w:autoRedefine/>
    <w:pPr>
      <w:spacing w:before="0" w:after="100"/>
    </w:pPr>
    <w:rPr>
      <w:rFonts w:ascii="Tahoma" w:hAnsi="Tahoma"/>
      <w:color w:val="1C1C1C"/>
      <w:sz w:val="20"/>
    </w:rPr>
  </w:style>
  <w:style w:type="paragraph" w:styleId="Ndice2">
    <w:name w:val="Índice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ＭＳ 明朝" w:cs="Tahoma"/>
      <w:color w:val="00000A"/>
      <w:sz w:val="24"/>
      <w:szCs w:val="22"/>
      <w:lang w:val="es-CO" w:eastAsia="es-CO" w:bidi="ar-SA"/>
    </w:rPr>
  </w:style>
  <w:style w:type="paragraph" w:styleId="Ttulo">
    <w:name w:val="Título"/>
    <w:basedOn w:val="Normal"/>
    <w:next w:val="Normal"/>
    <w:pPr>
      <w:pBdr>
        <w:bottom w:val="single" w:sz="8" w:space="4" w:color="CCCCCC"/>
      </w:pBdr>
      <w:spacing w:lineRule="auto" w:line="240" w:before="0" w:after="300"/>
      <w:jc w:val="center"/>
      <w:textAlignment w:val="center"/>
    </w:pPr>
    <w:rPr>
      <w:rFonts w:ascii="Tahoma" w:hAnsi="Tahoma" w:eastAsia="ＭＳ ゴシック" w:cs="Tahoma"/>
      <w:color w:val="808080"/>
      <w:spacing w:val="5"/>
      <w:sz w:val="52"/>
      <w:szCs w:val="52"/>
    </w:rPr>
  </w:style>
  <w:style w:type="paragraph" w:styleId="Contenidodelatabla">
    <w:name w:val="Contenido de la tabla"/>
    <w:basedOn w:val="Normal"/>
    <w:qFormat/>
    <w:pPr/>
    <w:rPr>
      <w:color w:val="333333"/>
      <w:sz w:val="20"/>
    </w:rPr>
  </w:style>
  <w:style w:type="paragraph" w:styleId="Encabezadodelatabla">
    <w:name w:val="Encabezado de la tabla"/>
    <w:basedOn w:val="Contenidodelatabla"/>
    <w:qFormat/>
    <w:pPr/>
    <w:rPr/>
  </w:style>
  <w:style w:type="paragraph" w:styleId="Contenidodelmarco">
    <w:name w:val="Contenido del marco"/>
    <w:basedOn w:val="Normal"/>
    <w:qFormat/>
    <w:pPr/>
    <w:rPr/>
  </w:style>
  <w:style w:type="paragraph" w:styleId="WWEncabezamiento">
    <w:name w:val="WW-Encabezamiento"/>
    <w:basedOn w:val="Normal"/>
    <w:qFormat/>
    <w:pPr>
      <w:tabs>
        <w:tab w:val="center" w:pos="4419" w:leader="none"/>
        <w:tab w:val="right" w:pos="8838" w:leader="none"/>
      </w:tabs>
    </w:pPr>
    <w:rPr/>
  </w:style>
  <w:style w:type="paragraph" w:styleId="WWEncabezado1">
    <w:name w:val="WW-Encabezado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bCs/>
      <w:color w:val="008080"/>
    </w:rPr>
  </w:style>
  <w:style w:type="paragraph" w:styleId="Cita">
    <w:name w:val="Cita"/>
    <w:basedOn w:val="Normal"/>
    <w:qFormat/>
    <w:pPr/>
    <w:rPr/>
  </w:style>
  <w:style w:type="paragraph" w:styleId="Subttulo">
    <w:name w:val="Subtítulo"/>
    <w:basedOn w:val="Encabezado"/>
    <w:pPr/>
    <w:rPr/>
  </w:style>
  <w:style w:type="paragraph" w:styleId="Ilustracin">
    <w:name w:val="Ilustración"/>
    <w:basedOn w:val="Pie"/>
    <w:qFormat/>
    <w:pPr/>
    <w:rPr>
      <w:sz w:val="24"/>
    </w:rPr>
  </w:style>
  <w:style w:type="paragraph" w:styleId="Encabezadondicedeilustraciones">
    <w:name w:val="Encabezado Índice de ilustraciones"/>
    <w:basedOn w:val="Encabezado"/>
    <w:qFormat/>
    <w:pPr/>
    <w:rPr>
      <w:rFonts w:ascii="Tahoma" w:hAnsi="Tahoma"/>
      <w:color w:val="333333"/>
    </w:rPr>
  </w:style>
  <w:style w:type="paragraph" w:styleId="Ndicedeilustraciones1">
    <w:name w:val="Índice de ilustraciones 1"/>
    <w:basedOn w:val="Ndice"/>
    <w:qFormat/>
    <w:pPr/>
    <w:rPr>
      <w:color w:val="1C1C1C"/>
      <w:sz w:val="20"/>
    </w:rPr>
  </w:style>
  <w:style w:type="paragraph" w:styleId="Tabla">
    <w:name w:val="Tabla"/>
    <w:basedOn w:val="Pie"/>
    <w:qFormat/>
    <w:pPr>
      <w:jc w:val="center"/>
    </w:pPr>
    <w:rPr>
      <w:sz w:val="20"/>
    </w:rPr>
  </w:style>
  <w:style w:type="paragraph" w:styleId="Texto">
    <w:name w:val="Texto"/>
    <w:basedOn w:val="Pie"/>
    <w:qFormat/>
    <w:pPr/>
    <w:rPr/>
  </w:style>
  <w:style w:type="paragraph" w:styleId="Encabezadodelndicedetablas">
    <w:name w:val="Encabezado del índice de tablas"/>
    <w:basedOn w:val="Encabezado"/>
    <w:qFormat/>
    <w:pPr/>
    <w:rPr>
      <w:rFonts w:ascii="Tahoma" w:hAnsi="Tahoma"/>
      <w:color w:val="333333"/>
    </w:rPr>
  </w:style>
  <w:style w:type="paragraph" w:styleId="Ndicedetablas1">
    <w:name w:val="Índice de tablas 1"/>
    <w:basedOn w:val="Ndice"/>
    <w:qFormat/>
    <w:pPr/>
    <w:rPr>
      <w:color w:val="1C1C1C"/>
      <w:sz w:val="20"/>
    </w:rPr>
  </w:style>
  <w:style w:type="numbering" w:styleId="NoList">
    <w:name w:val="No List"/>
  </w:style>
  <w:style w:type="numbering" w:styleId="WW8Num3">
    <w:name w:val="WW8Num3"/>
  </w:style>
  <w:style w:type="numbering" w:styleId="WW8Num2">
    <w:name w:val="WW8Num2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113028</TotalTime>
  <Application>LibreOffice/4.4.1.2$Windows_x86 LibreOffice_project/45e2de17089c24a1fa810c8f975a7171ba4cd432</Application>
  <Paragraphs>748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2014-02-07T17:26:00Z</dcterms:created>
  <dc:creator>Pablo-PC</dc:creator>
  <dc:language>es-ES</dc:language>
  <dcterms:modified xsi:type="dcterms:W3CDTF">2015-12-18T08:38:03Z</dcterms:modified>
  <cp:revision>566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