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lang w:val="es-ES" w:bidi="ar-SA"/>
        </w:rPr>
        <w:t>SOLICITUD DE PRUEBAS</w:t>
      </w:r>
    </w:p>
    <w:p>
      <w:pPr>
        <w:pStyle w:val="Normal"/>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lang w:val="es-ES" w:bidi="ar-SA"/>
        </w:rPr>
        <w:t>Subdirección de Desarrollo y Tecnología</w:t>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sz w:val="20"/>
          <w:szCs w:val="20"/>
        </w:rPr>
      </w:pPr>
      <w:r>
        <w:rPr>
          <w:rFonts w:cs="Arial" w:ascii="Arial" w:hAnsi="Arial"/>
          <w:sz w:val="20"/>
          <w:szCs w:val="20"/>
          <w:lang w:val="es-ES" w:bidi="ar-SA"/>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ES" w:bidi="ar-SA"/>
        </w:rPr>
      </w:pPr>
      <w:r>
        <w:rPr>
          <w:rFonts w:cs="Arial" w:ascii="Arial" w:hAnsi="Arial"/>
          <w:sz w:val="20"/>
          <w:szCs w:val="20"/>
          <w:lang w:val="es-ES" w:bidi="ar-SA"/>
        </w:rPr>
      </w:r>
    </w:p>
    <w:tbl>
      <w:tblPr>
        <w:tblStyle w:val="14"/>
        <w:tblW w:w="8977" w:type="dxa"/>
        <w:jc w:val="left"/>
        <w:tblInd w:w="-35" w:type="dxa"/>
        <w:tblCellMar>
          <w:top w:w="0" w:type="dxa"/>
          <w:left w:w="48" w:type="dxa"/>
          <w:bottom w:w="0" w:type="dxa"/>
          <w:right w:w="108" w:type="dxa"/>
        </w:tblCellMar>
      </w:tblPr>
      <w:tblGrid>
        <w:gridCol w:w="2801"/>
        <w:gridCol w:w="6175"/>
      </w:tblGrid>
      <w:tr>
        <w:trPr/>
        <w:tc>
          <w:tcPr>
            <w:tcW w:w="8976" w:type="dxa"/>
            <w:gridSpan w:val="2"/>
            <w:tcBorders/>
            <w:shd w:color="auto" w:fill="C00000" w:val="clear"/>
            <w:tcMar>
              <w:left w:w="48"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s-ES" w:bidi="ar-SA"/>
              </w:rPr>
              <w:t>DATOS GENERALES</w:t>
            </w:r>
          </w:p>
        </w:tc>
      </w:tr>
      <w:tr>
        <w:trPr/>
        <w:tc>
          <w:tcPr>
            <w:tcW w:w="2801" w:type="dxa"/>
            <w:tcBorders/>
            <w:shd w:color="auto" w:fill="C00000" w:val="clear"/>
            <w:tcMar>
              <w:left w:w="4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Nombre del Proyecto</w:t>
            </w:r>
          </w:p>
        </w:tc>
        <w:tc>
          <w:tcPr>
            <w:tcW w:w="6175" w:type="dxa"/>
            <w:tcBorders/>
            <w:shd w:fill="auto" w:val="clear"/>
            <w:tcMar>
              <w:left w:w="48" w:type="dxa"/>
            </w:tcMar>
          </w:tcPr>
          <w:p>
            <w:pPr>
              <w:pStyle w:val="Normal"/>
              <w:spacing w:lineRule="auto" w:line="240"/>
              <w:rPr>
                <w:lang w:val="es-ES" w:bidi="ar-SA"/>
              </w:rPr>
            </w:pPr>
            <w:r>
              <w:rPr>
                <w:rFonts w:ascii="Tahoma" w:hAnsi="Tahoma"/>
                <w:sz w:val="20"/>
                <w:szCs w:val="20"/>
                <w:lang w:val="es-ES" w:bidi="ar-SA"/>
              </w:rPr>
              <w:t>Talentos Para El Empleo - BECAS</w:t>
            </w:r>
          </w:p>
        </w:tc>
      </w:tr>
      <w:tr>
        <w:trPr/>
        <w:tc>
          <w:tcPr>
            <w:tcW w:w="2801" w:type="dxa"/>
            <w:tcBorders/>
            <w:shd w:color="auto" w:fill="C00000" w:val="clear"/>
            <w:tcMar>
              <w:left w:w="4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Fecha de Solicitud</w:t>
            </w:r>
          </w:p>
        </w:tc>
        <w:tc>
          <w:tcPr>
            <w:tcW w:w="6175" w:type="dxa"/>
            <w:tcBorders/>
            <w:shd w:fill="auto" w:val="clear"/>
            <w:tcMar>
              <w:left w:w="48" w:type="dxa"/>
            </w:tcMar>
          </w:tcPr>
          <w:p>
            <w:pPr>
              <w:pStyle w:val="Normal"/>
              <w:spacing w:lineRule="auto" w:line="240"/>
              <w:rPr/>
            </w:pPr>
            <w:r>
              <w:rPr>
                <w:rFonts w:cs="Arial" w:ascii="Arial" w:hAnsi="Arial"/>
                <w:sz w:val="20"/>
                <w:szCs w:val="20"/>
                <w:lang w:val="es-ES" w:bidi="ar-SA"/>
              </w:rPr>
              <w:t>11 de Agosto de 2015</w:t>
            </w:r>
          </w:p>
        </w:tc>
      </w:tr>
      <w:tr>
        <w:trPr/>
        <w:tc>
          <w:tcPr>
            <w:tcW w:w="2801" w:type="dxa"/>
            <w:tcBorders/>
            <w:shd w:color="auto" w:fill="C00000" w:val="clear"/>
            <w:tcMar>
              <w:left w:w="48"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Módulo a Probar</w:t>
            </w:r>
          </w:p>
        </w:tc>
        <w:tc>
          <w:tcPr>
            <w:tcW w:w="6175" w:type="dxa"/>
            <w:tcBorders/>
            <w:shd w:fill="auto" w:val="clear"/>
            <w:tcMar>
              <w:left w:w="48" w:type="dxa"/>
            </w:tcMar>
          </w:tcPr>
          <w:p>
            <w:pPr>
              <w:pStyle w:val="Normal"/>
              <w:spacing w:lineRule="auto" w:line="240"/>
              <w:rPr/>
            </w:pPr>
            <w:r>
              <w:rPr>
                <w:rFonts w:cs="Arial" w:ascii="Arial" w:hAnsi="Arial"/>
                <w:sz w:val="20"/>
                <w:szCs w:val="20"/>
                <w:lang w:val="es-ES" w:bidi="ar-SA"/>
              </w:rPr>
              <w:t>Funcionalidad gestor de documentos soportes por beneficiario</w:t>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tbl>
      <w:tblPr>
        <w:tblStyle w:val="13"/>
        <w:tblW w:w="9072" w:type="dxa"/>
        <w:jc w:val="left"/>
        <w:tblInd w:w="-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8"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s-ES" w:bidi="ar-SA"/>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48" w:type="dxa"/>
            </w:tcMar>
            <w:vAlign w:val="center"/>
          </w:tcPr>
          <w:p>
            <w:pPr>
              <w:pStyle w:val="ListParagraph"/>
              <w:ind w:left="0" w:hanging="0"/>
              <w:jc w:val="center"/>
              <w:rPr>
                <w:rFonts w:ascii="Tahoma" w:hAnsi="Tahoma" w:cs="Tahoma"/>
                <w:b/>
                <w:b/>
                <w:color w:val="002060"/>
                <w:sz w:val="20"/>
                <w:szCs w:val="20"/>
                <w:lang w:val="es-ES" w:bidi="ar-SA"/>
              </w:rPr>
            </w:pPr>
            <w:r>
              <w:rPr>
                <w:rFonts w:cs="Tahoma" w:ascii="Tahoma" w:hAnsi="Tahoma"/>
                <w:b/>
                <w:color w:val="00206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tcPr>
          <w:p>
            <w:pPr>
              <w:pStyle w:val="Normal"/>
              <w:rPr>
                <w:rFonts w:ascii="Tahoma" w:hAnsi="Tahoma" w:cs="Tahoma"/>
                <w:color w:val="002060"/>
                <w:sz w:val="20"/>
                <w:szCs w:val="20"/>
              </w:rPr>
            </w:pPr>
            <w:r>
              <w:rPr>
                <w:rFonts w:cs="Tahoma" w:ascii="Tahoma" w:hAnsi="Tahoma"/>
                <w:b/>
                <w:color w:val="FFFFFF"/>
                <w:sz w:val="20"/>
                <w:szCs w:val="20"/>
                <w:lang w:val="es-ES" w:bidi="ar-SA"/>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pPr>
            <w:r>
              <w:rPr>
                <w:rFonts w:cs="Arial" w:ascii="Arial" w:hAnsi="Arial"/>
                <w:sz w:val="20"/>
                <w:szCs w:val="20"/>
                <w:lang w:val="es-ES" w:bidi="ar-SA"/>
              </w:rPr>
              <w:t xml:space="preserve">Gestor de documentos soportes por beneficiario </w:t>
            </w:r>
            <w:r>
              <w:rPr>
                <w:rFonts w:cs="Tahoma" w:ascii="Tahoma" w:hAnsi="Tahoma"/>
                <w:sz w:val="20"/>
                <w:szCs w:val="20"/>
                <w:lang w:val="es-ES" w:bidi="ar-SA"/>
              </w:rPr>
              <w:t>del sistema Talentos para el Empleo.</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Ambiente de Pruebas</w:t>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16"/>
                      <w:szCs w:val="16"/>
                      <w:lang w:val="es-ES" w:bidi="ar-SA"/>
                    </w:rPr>
                  </w:pPr>
                  <w:r>
                    <w:rPr>
                      <w:rFonts w:cs="Tahoma" w:ascii="Tahoma" w:hAnsi="Tahoma"/>
                      <w:b/>
                      <w:sz w:val="16"/>
                      <w:szCs w:val="16"/>
                      <w:lang w:val="es-ES" w:bidi="ar-SA"/>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 w:type="dxa"/>
                  </w:tcMar>
                </w:tcPr>
                <w:p>
                  <w:pPr>
                    <w:pStyle w:val="Normal3"/>
                    <w:ind w:left="0" w:hanging="0"/>
                    <w:jc w:val="center"/>
                    <w:rPr>
                      <w:rFonts w:ascii="Tahoma" w:hAnsi="Tahoma" w:cs="Tahoma"/>
                      <w:b/>
                      <w:b/>
                      <w:sz w:val="20"/>
                      <w:szCs w:val="20"/>
                    </w:rPr>
                  </w:pPr>
                  <w:r>
                    <w:rPr>
                      <w:rFonts w:cs="Tahoma" w:ascii="Tahoma" w:hAnsi="Tahoma"/>
                      <w:b/>
                      <w:sz w:val="16"/>
                      <w:szCs w:val="16"/>
                      <w:lang w:val="es-ES" w:bidi="ar-SA"/>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sz w:val="16"/>
                      <w:szCs w:val="16"/>
                      <w:lang w:val="es-ES" w:bidi="ar-SA"/>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http://REM/FTTalentosEmpleo/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sz w:val="16"/>
                      <w:szCs w:val="16"/>
                      <w:lang w:val="es-ES" w:bidi="ar-SA"/>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cs="Tahoma" w:ascii="Tahoma" w:hAnsi="Tahoma"/>
                      <w:sz w:val="16"/>
                      <w:szCs w:val="16"/>
                      <w:lang w:val="es-ES" w:bidi="ar-SA"/>
                    </w:rPr>
                    <w:t>V - 12.0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sz w:val="16"/>
                      <w:szCs w:val="16"/>
                    </w:rPr>
                  </w:pPr>
                  <w:r>
                    <w:rPr>
                      <w:rFonts w:cs="Tahoma" w:ascii="Tahoma" w:hAnsi="Tahoma"/>
                      <w:b/>
                      <w:sz w:val="16"/>
                      <w:szCs w:val="16"/>
                      <w:lang w:val="es-ES" w:bidi="ar-SA"/>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sz w:val="16"/>
                      <w:szCs w:val="16"/>
                    </w:rPr>
                  </w:pPr>
                  <w:r>
                    <w:rPr>
                      <w:rFonts w:cs="Tahoma" w:ascii="Tahoma" w:hAnsi="Tahoma"/>
                      <w:sz w:val="16"/>
                      <w:szCs w:val="16"/>
                      <w:lang w:val="es-ES" w:bidi="ar-SA"/>
                    </w:rPr>
                    <w:t>Si</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b/>
                      <w:b/>
                      <w:bCs/>
                      <w:lang w:val="es-ES" w:bidi="ar-SA"/>
                    </w:rPr>
                  </w:pPr>
                  <w:r>
                    <w:rPr>
                      <w:rFonts w:ascii="Tahoma" w:hAnsi="Tahoma"/>
                      <w:b/>
                      <w:bCs/>
                      <w:sz w:val="16"/>
                      <w:szCs w:val="16"/>
                      <w:lang w:val="es-ES" w:bidi="ar-SA"/>
                    </w:rPr>
                    <w:t>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ascii="Tahoma" w:hAnsi="Tahoma"/>
                      <w:sz w:val="16"/>
                      <w:szCs w:val="16"/>
                      <w:lang w:val="es-ES" w:bidi="ar-SA"/>
                    </w:rPr>
                    <w:t>SPE_FormacionTrabajo</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b/>
                      <w:b/>
                      <w:bCs/>
                      <w:lang w:val="es-ES" w:bidi="ar-SA"/>
                    </w:rPr>
                  </w:pP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ascii="Tahoma" w:hAnsi="Tahoma"/>
                      <w:sz w:val="16"/>
                      <w:szCs w:val="16"/>
                      <w:lang w:val="es-ES" w:bidi="ar-SA"/>
                    </w:rPr>
                    <w:t>sa</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sz w:val="16"/>
                      <w:szCs w:val="16"/>
                    </w:rPr>
                  </w:pPr>
                  <w:r>
                    <w:rPr>
                      <w:rFonts w:ascii="Tahoma" w:hAnsi="Tahoma"/>
                      <w:b/>
                      <w:bCs/>
                      <w:sz w:val="16"/>
                      <w:szCs w:val="16"/>
                      <w:lang w:val="es-ES" w:bidi="ar-SA"/>
                    </w:rPr>
                    <w:t xml:space="preserve">Clave </w:t>
                  </w: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ascii="Tahoma" w:hAnsi="Tahoma"/>
                      <w:sz w:val="16"/>
                      <w:szCs w:val="16"/>
                      <w:lang w:val="es-ES" w:bidi="ar-SA"/>
                    </w:rPr>
                    <w:t>MintLavo2013</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b/>
                      <w:b/>
                      <w:bCs/>
                    </w:rPr>
                  </w:pPr>
                  <w:r>
                    <w:rPr>
                      <w:rFonts w:ascii="Tahoma" w:hAnsi="Tahoma"/>
                      <w:b/>
                      <w:bCs/>
                      <w:sz w:val="16"/>
                      <w:szCs w:val="16"/>
                    </w:rPr>
                    <w:t>Usuarios de la aplicación</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rPr>
                  </w:pPr>
                  <w:r>
                    <w:rPr>
                      <w:rFonts w:ascii="Tahoma" w:hAnsi="Tahoma"/>
                      <w:sz w:val="16"/>
                      <w:szCs w:val="16"/>
                    </w:rPr>
                    <w:t>Ver documentos anexos</w:t>
                  </w:r>
                </w:p>
              </w:tc>
            </w:tr>
          </w:tbl>
          <w:p>
            <w:pPr>
              <w:pStyle w:val="ListParagraph"/>
              <w:ind w:left="0" w:hanging="0"/>
              <w:jc w:val="center"/>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Evidenciar que desde el perfil Unidad, que el usuario responsable de la Unidad dentro del Sistema de Información “Talentos para el Empleo”, y desde cualquier convocatoria, pueda acceder a las opciones de cambio de paquete y/o cambio de institución.</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Una vez identificado el beneficiario al cual se le desea realizar el cambio de paquete o de institución, el usuario autenticado puede realizar el cambio respectivo.</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Si el cambio a realizar es de paquete, el sistema sólo le mostrará los demás paquetes de la institución en la cuál el beneficiario se encuentra preinscrito o pendiente. </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Si el cambio a realizar es de Institución, el sistema mostrará los paquetes de las demás instituciones dentro del mismo departamento, excluyendo los paquetes de la institución en la cuál el beneficiario se encuentra preinscrito o pendiente. </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El sistema sólo permite el cambio de paquete o institución si el beneficiario se encuentra con estado inicial preinscrito o pendiente, de lo contrario, no le permitirá realizar el respectivo cambio.   </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Normal"/>
              <w:rPr/>
            </w:pPr>
            <w:r>
              <w:rPr>
                <w:rFonts w:cs="Tahoma" w:ascii="Tahoma" w:hAnsi="Tahoma"/>
                <w:sz w:val="20"/>
                <w:szCs w:val="20"/>
                <w:lang w:val="es-ES" w:bidi="ar-SA"/>
              </w:rPr>
              <w:t xml:space="preserve">P-001  </w:t>
            </w:r>
            <w:r>
              <w:rPr>
                <w:rFonts w:cs="Arial" w:ascii="Arial" w:hAnsi="Arial"/>
                <w:sz w:val="20"/>
                <w:szCs w:val="20"/>
                <w:lang w:val="es-ES" w:bidi="ar-SA"/>
              </w:rPr>
              <w:t>Cambio de paquete al beneficiario</w:t>
            </w:r>
          </w:p>
          <w:p>
            <w:pPr>
              <w:pStyle w:val="Normal"/>
              <w:rPr>
                <w:rFonts w:ascii="Tahoma" w:hAnsi="Tahoma" w:cs="Tahoma"/>
                <w:sz w:val="20"/>
                <w:szCs w:val="20"/>
              </w:rPr>
            </w:pPr>
            <w:r>
              <w:rPr>
                <w:rFonts w:cs="Tahoma" w:ascii="Tahoma" w:hAnsi="Tahoma"/>
                <w:sz w:val="20"/>
                <w:szCs w:val="20"/>
                <w:lang w:val="es-ES" w:bidi="ar-SA"/>
              </w:rPr>
              <w:t xml:space="preserve">P-002  </w:t>
            </w:r>
            <w:r>
              <w:rPr>
                <w:rFonts w:cs="Arial" w:ascii="Arial" w:hAnsi="Arial"/>
                <w:sz w:val="20"/>
                <w:szCs w:val="20"/>
                <w:lang w:val="es-ES" w:bidi="ar-SA"/>
              </w:rPr>
              <w:t>Cambio de institución al beneficiario</w:t>
            </w:r>
          </w:p>
          <w:p>
            <w:pPr>
              <w:pStyle w:val="Normal"/>
              <w:rPr>
                <w:rFonts w:ascii="Arial" w:hAnsi="Arial" w:cs="Arial"/>
                <w:lang w:val="es-ES" w:bidi="ar-SA"/>
              </w:rPr>
            </w:pPr>
            <w:r>
              <w:rPr>
                <w:rFonts w:cs="Arial" w:ascii="Arial" w:hAnsi="Arial"/>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rPr>
                <w:lang w:val="es-ES" w:bidi="ar-SA"/>
              </w:rPr>
            </w:pPr>
            <w:r>
              <w:rPr>
                <w:rFonts w:cs="Tahoma" w:ascii="Tahoma" w:hAnsi="Tahoma"/>
                <w:b/>
                <w:color w:val="FFFFFF"/>
                <w:sz w:val="20"/>
                <w:szCs w:val="20"/>
                <w:lang w:val="es-ES" w:bidi="ar-SA"/>
              </w:rPr>
              <w:t xml:space="preserve">Descripción prueba </w:t>
            </w:r>
          </w:p>
          <w:p>
            <w:pPr>
              <w:pStyle w:val="Normal"/>
              <w:rPr>
                <w:lang w:val="es-ES" w:bidi="ar-SA"/>
              </w:rPr>
            </w:pPr>
            <w:r>
              <w:rPr>
                <w:rFonts w:cs="Tahoma" w:ascii="Tahoma" w:hAnsi="Tahoma"/>
                <w:b/>
                <w:color w:val="FFFFFF"/>
                <w:sz w:val="20"/>
                <w:szCs w:val="20"/>
                <w:lang w:val="es-ES" w:bidi="ar-SA"/>
              </w:rPr>
              <w:t xml:space="preserve">P-001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pPr>
            <w:r>
              <w:rPr>
                <w:rFonts w:cs="Tahoma" w:ascii="Tahoma" w:hAnsi="Tahoma"/>
                <w:b/>
                <w:sz w:val="20"/>
                <w:szCs w:val="20"/>
                <w:lang w:val="es-ES" w:bidi="ar-SA"/>
              </w:rPr>
              <w:t>P-001 | Cambio de paquete al beneficiario</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2"/>
              </w:numPr>
              <w:jc w:val="both"/>
              <w:rPr/>
            </w:pPr>
            <w:r>
              <w:rPr>
                <w:rFonts w:cs="Tahoma" w:ascii="Tahoma" w:hAnsi="Tahoma"/>
                <w:sz w:val="20"/>
                <w:szCs w:val="20"/>
                <w:lang w:val="es-ES" w:bidi="ar-SA"/>
              </w:rPr>
              <w:t>Ingresar al sistema con un usuario de la Unidad.</w:t>
            </w:r>
          </w:p>
          <w:p>
            <w:pPr>
              <w:pStyle w:val="ListParagraph"/>
              <w:numPr>
                <w:ilvl w:val="0"/>
                <w:numId w:val="2"/>
              </w:numPr>
              <w:jc w:val="both"/>
              <w:rPr>
                <w:lang w:val="es-ES" w:bidi="ar-SA"/>
              </w:rPr>
            </w:pPr>
            <w:r>
              <w:rPr>
                <w:rFonts w:cs="Tahoma" w:ascii="Tahoma" w:hAnsi="Tahoma"/>
                <w:sz w:val="20"/>
                <w:szCs w:val="20"/>
                <w:lang w:val="es-ES" w:bidi="ar-SA"/>
              </w:rPr>
              <w:t>Seleccionar una Convocatoria.</w:t>
            </w:r>
          </w:p>
          <w:p>
            <w:pPr>
              <w:pStyle w:val="ListParagraph"/>
              <w:numPr>
                <w:ilvl w:val="0"/>
                <w:numId w:val="2"/>
              </w:numPr>
              <w:jc w:val="both"/>
              <w:rPr/>
            </w:pPr>
            <w:r>
              <w:rPr>
                <w:rFonts w:cs="Tahoma" w:ascii="Tahoma" w:hAnsi="Tahoma"/>
                <w:sz w:val="20"/>
                <w:szCs w:val="20"/>
                <w:lang w:val="es-ES" w:bidi="ar-SA"/>
              </w:rPr>
              <w:t>Seleccionar la opción de Menú “Preinscripción” → “Cambiar Paquete”</w:t>
            </w:r>
          </w:p>
          <w:p>
            <w:pPr>
              <w:pStyle w:val="ListParagraph"/>
              <w:numPr>
                <w:ilvl w:val="0"/>
                <w:numId w:val="2"/>
              </w:numPr>
              <w:jc w:val="both"/>
              <w:rPr/>
            </w:pPr>
            <w:r>
              <w:rPr>
                <w:rFonts w:cs="Tahoma" w:ascii="Tahoma" w:hAnsi="Tahoma"/>
                <w:sz w:val="20"/>
                <w:szCs w:val="20"/>
                <w:u w:val="none"/>
                <w:lang w:val="es-ES" w:bidi="ar-SA"/>
              </w:rPr>
              <w:t>Buscar al beneficiario que se desea cambiar de paquete.</w:t>
            </w:r>
          </w:p>
          <w:p>
            <w:pPr>
              <w:pStyle w:val="ListParagraph"/>
              <w:numPr>
                <w:ilvl w:val="0"/>
                <w:numId w:val="2"/>
              </w:numPr>
              <w:jc w:val="both"/>
              <w:rPr/>
            </w:pPr>
            <w:r>
              <w:rPr>
                <w:rFonts w:cs="Tahoma" w:ascii="Tahoma" w:hAnsi="Tahoma"/>
                <w:sz w:val="20"/>
                <w:szCs w:val="20"/>
                <w:u w:val="none"/>
                <w:lang w:val="es-ES" w:bidi="ar-SA"/>
              </w:rPr>
              <w:t>Verificar si el beneficiario aparece en su estado inicial, como Preinscrito o Pendiente, para poder realizar el cambio. El sistema habilita la opción para realizar el cambio, sí y solo sí, cumple con esta condición.</w:t>
            </w:r>
          </w:p>
          <w:p>
            <w:pPr>
              <w:pStyle w:val="ListParagraph"/>
              <w:numPr>
                <w:ilvl w:val="0"/>
                <w:numId w:val="2"/>
              </w:numPr>
              <w:jc w:val="both"/>
              <w:rPr/>
            </w:pPr>
            <w:r>
              <w:rPr>
                <w:rFonts w:cs="Tahoma" w:ascii="Tahoma" w:hAnsi="Tahoma"/>
                <w:sz w:val="20"/>
                <w:szCs w:val="20"/>
                <w:u w:val="none"/>
                <w:lang w:val="es-ES" w:bidi="ar-SA"/>
              </w:rPr>
              <w:t>Para realizar el cambio del paquete, el usuario deberá presionar el botón “Cambiar Paquete”.</w:t>
            </w:r>
          </w:p>
          <w:p>
            <w:pPr>
              <w:pStyle w:val="ListParagraph"/>
              <w:numPr>
                <w:ilvl w:val="0"/>
                <w:numId w:val="2"/>
              </w:numPr>
              <w:jc w:val="both"/>
              <w:rPr/>
            </w:pPr>
            <w:r>
              <w:rPr>
                <w:rFonts w:cs="Tahoma" w:ascii="Tahoma" w:hAnsi="Tahoma"/>
                <w:sz w:val="20"/>
                <w:szCs w:val="20"/>
                <w:lang w:val="es-ES" w:bidi="ar-SA"/>
              </w:rPr>
              <w:t>Para seleccionar el nuevo paquete se debe oprimir el botón “S” de Seleccionar Paquete.</w:t>
            </w:r>
          </w:p>
          <w:p>
            <w:pPr>
              <w:pStyle w:val="ListParagraph"/>
              <w:numPr>
                <w:ilvl w:val="0"/>
                <w:numId w:val="0"/>
              </w:numPr>
              <w:ind w:left="720" w:hanging="0"/>
              <w:jc w:val="both"/>
              <w:rPr>
                <w:rFonts w:ascii="Tahoma" w:hAnsi="Tahoma" w:cs="Tahoma"/>
                <w:color w:val="000000"/>
                <w:sz w:val="20"/>
                <w:szCs w:val="20"/>
              </w:rPr>
            </w:pPr>
            <w:r>
              <w:rPr>
                <w:rFonts w:cs="Tahoma" w:ascii="Tahoma" w:hAnsi="Tahoma"/>
                <w:color w:val="000000"/>
                <w:sz w:val="20"/>
                <w:szCs w:val="20"/>
              </w:rPr>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pPr>
            <w:r>
              <w:rPr>
                <w:rFonts w:cs="Tahoma" w:ascii="Tahoma" w:hAnsi="Tahoma"/>
                <w:b/>
                <w:color w:val="FFFFFF"/>
                <w:sz w:val="20"/>
                <w:szCs w:val="20"/>
                <w:lang w:val="es-ES" w:bidi="ar-SA"/>
              </w:rPr>
              <w:t xml:space="preserve">Descripción prueba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t xml:space="preserve">P-002 </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pPr>
            <w:r>
              <w:rPr>
                <w:rFonts w:cs="Tahoma" w:ascii="Tahoma" w:hAnsi="Tahoma"/>
                <w:b/>
                <w:sz w:val="20"/>
                <w:szCs w:val="20"/>
                <w:lang w:val="es-ES" w:bidi="ar-SA"/>
              </w:rPr>
              <w:t>P-002 | Cambio de institución al beneficiario</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numPr>
                <w:ilvl w:val="0"/>
                <w:numId w:val="3"/>
              </w:numPr>
              <w:jc w:val="both"/>
              <w:rPr/>
            </w:pPr>
            <w:r>
              <w:rPr>
                <w:rFonts w:cs="Tahoma" w:ascii="Tahoma" w:hAnsi="Tahoma"/>
                <w:sz w:val="20"/>
                <w:szCs w:val="20"/>
                <w:lang w:val="es-ES" w:bidi="ar-SA"/>
              </w:rPr>
              <w:t>Ingresar al sistema con un usuario de la Unidad.</w:t>
            </w:r>
          </w:p>
          <w:p>
            <w:pPr>
              <w:pStyle w:val="ListParagraph"/>
              <w:numPr>
                <w:ilvl w:val="0"/>
                <w:numId w:val="3"/>
              </w:numPr>
              <w:jc w:val="both"/>
              <w:rPr/>
            </w:pPr>
            <w:r>
              <w:rPr>
                <w:rFonts w:cs="Tahoma" w:ascii="Tahoma" w:hAnsi="Tahoma"/>
                <w:sz w:val="20"/>
                <w:szCs w:val="20"/>
                <w:lang w:val="es-ES" w:bidi="ar-SA"/>
              </w:rPr>
              <w:t>Seleccionar una Convocatoria.</w:t>
            </w:r>
          </w:p>
          <w:p>
            <w:pPr>
              <w:pStyle w:val="ListParagraph"/>
              <w:numPr>
                <w:ilvl w:val="0"/>
                <w:numId w:val="3"/>
              </w:numPr>
              <w:jc w:val="both"/>
              <w:rPr/>
            </w:pPr>
            <w:r>
              <w:rPr>
                <w:rFonts w:cs="Tahoma" w:ascii="Tahoma" w:hAnsi="Tahoma"/>
                <w:sz w:val="20"/>
                <w:szCs w:val="20"/>
                <w:lang w:val="es-ES" w:bidi="ar-SA"/>
              </w:rPr>
              <w:t>Seleccionar la opción de Menú “Preinscripción” → “Traslado de Institución”</w:t>
            </w:r>
          </w:p>
          <w:p>
            <w:pPr>
              <w:pStyle w:val="ListParagraph"/>
              <w:numPr>
                <w:ilvl w:val="0"/>
                <w:numId w:val="3"/>
              </w:numPr>
              <w:jc w:val="both"/>
              <w:rPr/>
            </w:pPr>
            <w:r>
              <w:rPr>
                <w:rFonts w:cs="Tahoma" w:ascii="Tahoma" w:hAnsi="Tahoma"/>
                <w:sz w:val="20"/>
                <w:szCs w:val="20"/>
                <w:u w:val="none"/>
                <w:lang w:val="es-ES" w:bidi="ar-SA"/>
              </w:rPr>
              <w:t>Buscar al beneficiario que se desea cambiar de institución.</w:t>
            </w:r>
          </w:p>
          <w:p>
            <w:pPr>
              <w:pStyle w:val="ListParagraph"/>
              <w:numPr>
                <w:ilvl w:val="0"/>
                <w:numId w:val="3"/>
              </w:numPr>
              <w:jc w:val="both"/>
              <w:rPr/>
            </w:pPr>
            <w:r>
              <w:rPr>
                <w:rFonts w:cs="Tahoma" w:ascii="Tahoma" w:hAnsi="Tahoma"/>
                <w:sz w:val="20"/>
                <w:szCs w:val="20"/>
                <w:u w:val="none"/>
                <w:lang w:val="es-ES" w:bidi="ar-SA"/>
              </w:rPr>
              <w:t>Verificar si el beneficiario aparece en su estado inicial, como Preinscrito o Pendiente, para poder realizar el cambio. El sistema habilita la opción para realizar el cambio, sí y solo sí, cumple con esta condición.</w:t>
            </w:r>
          </w:p>
          <w:p>
            <w:pPr>
              <w:pStyle w:val="ListParagraph"/>
              <w:numPr>
                <w:ilvl w:val="0"/>
                <w:numId w:val="3"/>
              </w:numPr>
              <w:jc w:val="both"/>
              <w:rPr/>
            </w:pPr>
            <w:r>
              <w:rPr>
                <w:rFonts w:cs="Tahoma" w:ascii="Tahoma" w:hAnsi="Tahoma"/>
                <w:sz w:val="20"/>
                <w:szCs w:val="20"/>
                <w:u w:val="none"/>
                <w:lang w:val="es-ES" w:bidi="ar-SA"/>
              </w:rPr>
              <w:t>Para realizar el cambio del paquete, el usuario deberá presionar el botón “Traslado de Institución”.</w:t>
            </w:r>
          </w:p>
          <w:p>
            <w:pPr>
              <w:pStyle w:val="ListParagraph"/>
              <w:numPr>
                <w:ilvl w:val="0"/>
                <w:numId w:val="3"/>
              </w:numPr>
              <w:jc w:val="both"/>
              <w:rPr/>
            </w:pPr>
            <w:r>
              <w:rPr>
                <w:rFonts w:cs="Tahoma" w:ascii="Tahoma" w:hAnsi="Tahoma"/>
                <w:sz w:val="20"/>
                <w:szCs w:val="20"/>
                <w:u w:val="none"/>
                <w:lang w:val="es-ES" w:bidi="ar-SA"/>
              </w:rPr>
              <w:t>Para seleccionar el nuevo paquete en la nueva institución se debe oprimir el botón “S” de Seleccionar Paquete.</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rPr>
                <w:lang w:val="es-ES" w:bidi="ar-SA"/>
              </w:rPr>
            </w:pPr>
            <w:r>
              <w:rPr>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48" w:type="dxa"/>
            </w:tcMar>
            <w:vAlign w:val="center"/>
          </w:tcPr>
          <w:p>
            <w:pPr>
              <w:pStyle w:val="Normal"/>
              <w:rPr/>
            </w:pPr>
            <w:r>
              <w:rPr>
                <w:rFonts w:cs="Tahoma" w:ascii="Tahoma" w:hAnsi="Tahoma"/>
                <w:b/>
                <w:color w:val="FFFFFF"/>
                <w:sz w:val="20"/>
                <w:szCs w:val="20"/>
                <w:lang w:val="es-ES" w:bidi="ar-SA"/>
              </w:rPr>
              <w:t>Documentos anexos</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cPr>
          <w:p>
            <w:pPr>
              <w:pStyle w:val="ListParagraph"/>
              <w:ind w:left="0" w:hanging="0"/>
              <w:jc w:val="both"/>
              <w:rPr>
                <w:b w:val="false"/>
                <w:b w:val="false"/>
                <w:bCs w:val="false"/>
                <w:color w:val="000000"/>
                <w:lang w:val="es-ES" w:bidi="ar-SA"/>
              </w:rPr>
            </w:pPr>
            <w:r>
              <w:rPr>
                <w:rFonts w:cs="Tahoma" w:ascii="Tahoma" w:hAnsi="Tahoma"/>
                <w:b w:val="false"/>
                <w:bCs w:val="false"/>
                <w:color w:val="000000"/>
                <w:sz w:val="20"/>
                <w:szCs w:val="20"/>
                <w:lang w:val="es-ES" w:bidi="ar-SA"/>
              </w:rPr>
              <w:t>Documento con los usuarios del sistema de pruebas “LISTADO_USUARIOS_CLAVE.xls”.</w:t>
            </w:r>
          </w:p>
          <w:p>
            <w:pPr>
              <w:pStyle w:val="ListParagraph"/>
              <w:ind w:left="0" w:hanging="0"/>
              <w:jc w:val="both"/>
              <w:rPr>
                <w:rFonts w:ascii="Tahoma" w:hAnsi="Tahoma" w:cs="Tahoma"/>
                <w:sz w:val="20"/>
                <w:szCs w:val="20"/>
                <w:lang w:val="es-ES" w:bidi="ar-SA"/>
              </w:rPr>
            </w:pPr>
            <w:bookmarkStart w:id="0" w:name="_Toc456600917"/>
            <w:bookmarkStart w:id="1" w:name="_Toc456598586"/>
            <w:bookmarkStart w:id="2" w:name="_Toc447095880"/>
            <w:bookmarkStart w:id="3" w:name="_Toc456600917"/>
            <w:bookmarkStart w:id="4" w:name="_Toc456598586"/>
            <w:bookmarkStart w:id="5" w:name="_Toc447095880"/>
            <w:bookmarkEnd w:id="3"/>
            <w:bookmarkEnd w:id="4"/>
            <w:bookmarkEnd w:id="5"/>
            <w:r>
              <w:rPr>
                <w:rFonts w:cs="Tahoma" w:ascii="Tahoma" w:hAnsi="Tahoma"/>
                <w:sz w:val="20"/>
                <w:szCs w:val="20"/>
                <w:lang w:val="es-ES" w:bidi="ar-SA"/>
              </w:rPr>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bookmarkStart w:id="6" w:name="_GoBack"/>
      <w:bookmarkStart w:id="7" w:name="_GoBack"/>
      <w:bookmarkEnd w:id="7"/>
      <w:r>
        <w:rPr>
          <w:rFonts w:cs="Arial" w:ascii="Arial" w:hAnsi="Arial"/>
          <w:color w:val="002060"/>
          <w:sz w:val="20"/>
          <w:szCs w:val="20"/>
          <w:lang w:val="es-ES" w:bidi="ar-SA"/>
        </w:rPr>
      </w:r>
    </w:p>
    <w:tbl>
      <w:tblPr>
        <w:tblStyle w:val="13"/>
        <w:tblW w:w="9072" w:type="dxa"/>
        <w:jc w:val="left"/>
        <w:tblInd w:w="-1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4536"/>
        <w:gridCol w:w="4535"/>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10"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s-ES" w:bidi="ar-SA"/>
              </w:rPr>
              <w:t xml:space="preserve">FIRMAS </w:t>
            </w:r>
          </w:p>
        </w:tc>
      </w:tr>
      <w:tr>
        <w:trPr>
          <w:trHeight w:val="70"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10" w:type="dxa"/>
            </w:tcMar>
            <w:vAlign w:val="center"/>
          </w:tcPr>
          <w:p>
            <w:pPr>
              <w:pStyle w:val="Cuerpodetexto"/>
              <w:spacing w:before="0" w:after="0"/>
              <w:ind w:left="0" w:hanging="0"/>
              <w:jc w:val="center"/>
              <w:rPr>
                <w:rFonts w:ascii="Arial" w:hAnsi="Arial" w:cs="Arial"/>
                <w:b/>
                <w:b/>
              </w:rPr>
            </w:pPr>
            <w:r>
              <w:rPr>
                <w:rFonts w:cs="Arial" w:ascii="Arial" w:hAnsi="Arial"/>
                <w:b/>
                <w:lang w:val="es-ES" w:bidi="ar-SA"/>
              </w:rPr>
              <w:t>Nombre</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10" w:type="dxa"/>
            </w:tcMar>
            <w:vAlign w:val="center"/>
          </w:tcPr>
          <w:p>
            <w:pPr>
              <w:pStyle w:val="Cuerpodetexto"/>
              <w:spacing w:before="0" w:after="0"/>
              <w:ind w:left="0" w:hanging="0"/>
              <w:jc w:val="center"/>
              <w:rPr>
                <w:lang w:val="es-ES" w:bidi="ar-SA"/>
              </w:rPr>
            </w:pPr>
            <w:r>
              <w:rPr>
                <w:rFonts w:cs="Arial" w:ascii="Arial" w:hAnsi="Arial"/>
                <w:b/>
                <w:lang w:val="es-ES" w:bidi="ar-SA"/>
              </w:rPr>
              <w:t>Rol</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Cuerpodetexto"/>
              <w:spacing w:before="0" w:after="0"/>
              <w:ind w:left="0" w:hanging="0"/>
              <w:rPr>
                <w:rFonts w:ascii="Arial" w:hAnsi="Arial" w:cs="Arial"/>
                <w:b/>
                <w:b/>
              </w:rPr>
            </w:pPr>
            <w:r>
              <w:rPr>
                <w:rFonts w:cs="Arial" w:ascii="Arial" w:hAnsi="Arial"/>
                <w:b/>
                <w:lang w:val="es-ES" w:bidi="ar-SA"/>
              </w:rPr>
              <w:t>Jhony Alexander Rocha Avendaño</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Desarrollador</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Cuerpodetexto"/>
              <w:spacing w:before="0" w:after="0"/>
              <w:ind w:left="0" w:hanging="0"/>
              <w:rPr>
                <w:lang w:val="es-ES" w:bidi="ar-SA"/>
              </w:rPr>
            </w:pPr>
            <w:r>
              <w:rPr>
                <w:rFonts w:cs="Arial" w:ascii="Arial" w:hAnsi="Arial"/>
                <w:b/>
                <w:lang w:val="es-ES" w:bidi="ar-SA"/>
              </w:rPr>
              <w:t>Lady Johanna Ruíz González</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jc w:val="center"/>
            <w:rPr/>
          </w:pPr>
          <w:r>
            <w:rPr>
              <w:rFonts w:cs="Arial" w:ascii="Arial" w:hAnsi="Arial"/>
              <w:sz w:val="20"/>
              <w:szCs w:val="20"/>
            </w:rPr>
            <w:t>SP-012</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10" w:type="dxa"/>
          </w:tcMar>
          <w:vAlign w:val="center"/>
        </w:tcPr>
        <w:p>
          <w:pPr>
            <w:pStyle w:val="Normal"/>
            <w:jc w:val="center"/>
            <w:rPr/>
          </w:pPr>
          <w:r>
            <w:rPr/>
            <w:fldChar w:fldCharType="begin"/>
          </w:r>
          <w:r>
            <w:instrText> PAGE </w:instrText>
          </w:r>
          <w:r>
            <w:fldChar w:fldCharType="separate"/>
          </w:r>
          <w:r>
            <w:t>3</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3</w:t>
          </w:r>
          <w:r>
            <w:fldChar w:fldCharType="end"/>
          </w:r>
        </w:p>
      </w:tc>
    </w:tr>
  </w:tbl>
  <w:p>
    <w:pPr>
      <w:pStyle w:val="Encabezamiento"/>
      <w:rPr>
        <w:lang w:val="es-ES" w:bidi="ar-SA"/>
      </w:rPr>
    </w:pPr>
    <w:r>
      <w:rPr>
        <w:lang w:val="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0"/>
        <w:b/>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val="false"/>
      <w:bCs w:val="false"/>
      <w:sz w:val="20"/>
    </w:rPr>
  </w:style>
  <w:style w:type="character" w:styleId="ListLabel21">
    <w:name w:val="ListLabel 21"/>
    <w:qFormat/>
    <w:rPr>
      <w:rFonts w:ascii="Arial" w:hAnsi="Arial"/>
      <w:b/>
      <w:bCs w:val="false"/>
      <w:sz w:val="20"/>
    </w:rPr>
  </w:style>
  <w:style w:type="character" w:styleId="ListLabel22">
    <w:name w:val="ListLabel 22"/>
    <w:qFormat/>
    <w:rPr>
      <w:rFonts w:ascii="Arial" w:hAnsi="Arial"/>
      <w:b/>
      <w:bCs w:val="false"/>
      <w:sz w:val="20"/>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17095</TotalTime>
  <Application>LibreOffice/4.4.1.2$Windows_x86 LibreOffice_project/45e2de17089c24a1fa810c8f975a7171ba4cd432</Application>
  <Paragraphs>74</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2015-11-30T18:14:44Z</dcterms:modified>
  <cp:revision>26</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