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olor w:val="D4621A"/>
          <w:sz w:val="22"/>
        </w:rPr>
        <w:t>THE GROVE FOUNDATION</w:t>
      </w:r>
    </w:p>
    <w:p>
      <w:pPr>
        <w:jc w:val="center"/>
      </w:pPr>
      <w:r>
        <w:rPr>
          <w:color w:val="808080"/>
          <w:sz w:val="18"/>
        </w:rPr>
        <w:t>Open Standard · GRV-001 · CC BY 4.0</w:t>
      </w:r>
    </w:p>
    <w:p/>
    <w:p>
      <w:pPr>
        <w:jc w:val="center"/>
      </w:pPr>
      <w:r>
        <w:rPr>
          <w:b/>
          <w:sz w:val="56"/>
        </w:rPr>
        <w:t>The Autonomaton Pattern</w:t>
      </w:r>
    </w:p>
    <w:p>
      <w:pPr>
        <w:jc w:val="center"/>
      </w:pPr>
      <w:r>
        <w:rPr>
          <w:i/>
          <w:color w:val="606060"/>
          <w:sz w:val="28"/>
        </w:rPr>
        <w:t>Toward Self-Authoring Software Systems</w:t>
      </w:r>
    </w:p>
    <w:p/>
    <w:p>
      <w:r>
        <w:t>A design philosophy for software systems that learn from use, govern themselves through declarative configuration, and make human sovereignty an architectural property—not a policy aspiration. The pattern is model-agnostic, domain-agnostic, and published under CC BY 4.0 for anyone to implement.</w:t>
      </w:r>
    </w:p>
    <w:p>
      <w:r>
        <w:t>Three files and a loop. A routing config, a zones schema, a structured telemetry log, and a pipeline that traverses them in order. That is the entire architecture. Everything else is implication.</w:t>
      </w:r>
    </w:p>
    <w:p>
      <w:r>
        <w:rPr>
          <w:color w:val="808080"/>
          <w:sz w:val="18"/>
        </w:rPr>
        <w:t>Jim Calhoun · The Grove Foundation · v1.0 · March 2026</w:t>
      </w:r>
    </w:p>
    <w:p>
      <w:r>
        <w:br w:type="page"/>
      </w:r>
    </w:p>
    <w:p>
      <w:pPr>
        <w:pStyle w:val="Heading1"/>
      </w:pPr>
      <w:r>
        <w:t>I. The Problem</w:t>
      </w:r>
    </w:p>
    <w:p>
      <w:r>
        <w:t>The dominant paradigm for AI-assisted software is reactive. You ask. It answers. The session ends. Nothing is retained. Nothing is learned. The next session starts from zero.</w:t>
      </w:r>
    </w:p>
    <w:p>
      <w:r>
        <w:t>This is not a limitation of the models. It is a limitation of the architecture. The models are capable of pattern recognition, context assembly, and nuanced classification. But the systems built around them treat every interaction as independent—a stateless request-response cycle with no memory, no governance, and no mechanism for improvement.</w:t>
      </w:r>
    </w:p>
    <w:p>
      <w:r>
        <w:t>The consequences are structural:</w:t>
      </w:r>
    </w:p>
    <w:p>
      <w:r>
        <w:t>No learning. The system cannot distinguish a request it has seen a hundred times from one it has never seen. Every query pays full inference cost regardless of novelty. Institutional knowledge evaporates between sessions.</w:t>
      </w:r>
    </w:p>
    <w:p>
      <w:r>
        <w:t>No governance. There is no architectural distinction between a routine task and a high-stakes decision. The system treats “rename this file” and “restructure this database” with identical authority. Risk classification is absent, not because it’s impossible, but because no standard architecture requires it.</w:t>
      </w:r>
    </w:p>
    <w:p>
      <w:r>
        <w:t>No sovereignty. The behavioral intelligence the system accumulates—your patterns, your preferences, your decision-making cadence—lives inside the provider’s infrastructure. You cannot inspect it, export it, or take it with you.</w:t>
      </w:r>
    </w:p>
    <w:p>
      <w:pPr>
        <w:spacing w:before="240" w:after="240"/>
        <w:ind w:left="720"/>
      </w:pPr>
      <w:r>
        <w:rPr>
          <w:i/>
          <w:color w:val="D4621A"/>
        </w:rPr>
        <w:t>The industry has built brilliant models and wrapped them in architectures that cannot learn, cannot be audited, and do not belong to the people who use them. The Autonomaton Pattern addresses the architecture, not the model.</w:t>
      </w:r>
    </w:p>
    <w:p>
      <w:pPr>
        <w:pStyle w:val="Heading1"/>
      </w:pPr>
      <w:r>
        <w:t>II. The Lineage</w:t>
      </w:r>
    </w:p>
    <w:p>
      <w:r>
        <w:t>The Autonomaton Pattern is not novel. It is a synthesis of established ideas from computer science, industrial engineering, and the PC revolution’s deepest architectural insight: that coherent products are expressions of coherent worldviews.</w:t>
      </w:r>
    </w:p>
    <w:p>
      <w:r>
        <w:t>The generation that built the personal computer understood something the AI industry has forgotten. Wigginton, Kare, Mok—they understood that design is philosophy expressed through constraint. The Macintosh wasn’t a collection of features. It was a worldview rendered in silicon and software. That tradition went underground when the industry shifted to platform scale. The Autonomaton Pattern is its return in the AI era.</w:t>
      </w:r>
    </w:p>
    <w:p>
      <w:pPr>
        <w:pStyle w:val="Heading1"/>
      </w:pPr>
      <w:r>
        <w:t>III. The Pattern</w:t>
      </w:r>
    </w:p>
    <w:p>
      <w:r>
        <w:t>Every Autonomaton instance traverses the same five stages, regardless of domain, model, or provider. The pipeline is not a suggestion. It is an invariant. Nothing runs alongside it. No sub-pipelines. No bypasses. No exceptions.</w:t>
      </w:r>
    </w:p>
    <w:p>
      <w:r>
        <w:t>This constraint is the source of every property that matters: auditability, composability, portability, and the structural guarantee that every action can be traced to a governance decision a human can read.</w:t>
      </w:r>
    </w:p>
    <w:p>
      <w:pPr>
        <w:pStyle w:val="Heading2"/>
      </w:pPr>
      <w:r>
        <w:t>The Cognitive Router</w:t>
      </w:r>
    </w:p>
    <w:p>
      <w:r>
        <w:t>At Stage 02, the Cognitive Router classifies each request and dispatches it to the cheapest tier capable of handling it. This is the mechanism that makes the system structurally cheaper over time—as patterns are confirmed, they migrate downward through the tiers. The LLM is the brain. Keywords are the bootstrap cache. Confirmed patterns become deterministic rules.</w:t>
      </w:r>
    </w:p>
    <w:p>
      <w:r>
        <w:t>← Patterns migrate downward through confirmed use. The system gets cheaper as a structural property of operation. →</w:t>
      </w:r>
    </w:p>
    <w:p>
      <w:pPr>
        <w:pStyle w:val="Heading1"/>
      </w:pPr>
      <w:r>
        <w:t>IV. The Principles</w:t>
      </w:r>
    </w:p>
    <w:p>
      <w:r>
        <w:t>The Autonomaton Pattern implements the DEX (Declarative Exploration) standard—a set of architectural principles that separate exploration logic from execution capability. These are not guidelines. They are structural constraints. A system that violates them may work, but it is not an Autonomaton.</w:t>
      </w:r>
    </w:p>
    <w:p>
      <w:pPr>
        <w:pStyle w:val="Heading1"/>
      </w:pPr>
      <w:r>
        <w:t>V. The Zone Model</w:t>
      </w:r>
    </w:p>
    <w:p>
      <w:r>
        <w:t>Every action traversing the pipeline passes through Stage 04: Approval. The Zone Model determines what happens there. It is the structural guarantee that the system respects human authority—not through prompting, but through architectural constraint.</w:t>
      </w:r>
    </w:p>
    <w:p>
      <w:r>
        <w:t>Zone boundaries are declarative—defined in configuration, not hardcoded. A healthcare deployment and a content scheduling deployment use the same Zone Model with different boundaries. The architecture is identical. The governance is domain-specific.</w:t>
      </w:r>
    </w:p>
    <w:p>
      <w:pPr>
        <w:pStyle w:val="Heading1"/>
      </w:pPr>
      <w:r>
        <w:t>VI. The Flywheel</w:t>
      </w:r>
    </w:p>
    <w:p>
      <w:r>
        <w:t>The Autonomaton is not a static system. It is a self-reinforcing improvement loop—a ratchet that turns interaction data into reusable skills and migrates those skills toward cheaper execution tiers through confirmed use.</w:t>
      </w:r>
    </w:p>
    <w:p>
      <w:r>
        <w:t>The mechanism is structural, not statistical. Every skill is a readable specification—not an opaque weight adjustment. Delete a skill and the behavior stops. Add a skill and the behavior starts. The operator can inspect, edit, version, and audit every piece of learned behavior the system accumulates.</w:t>
      </w:r>
    </w:p>
    <w:p>
      <w:r>
        <w:t>The LLM is the brain. Keywords are the bootstrap cache. Confirmed patterns become deterministic rules. The ratchet only turns in one direction: toward cheaper, faster, more private execution—unless the operator explicitly resets it.</w:t>
      </w:r>
    </w:p>
    <w:p>
      <w:r>
        <w:t>The ratchet: T3 → T2 → T1 → T0. Skills migrate toward deterministic execution through confirmed use. The system gets cheaper as a structural consequence of operation.</w:t>
      </w:r>
    </w:p>
    <w:p>
      <w:pPr>
        <w:pStyle w:val="Heading1"/>
      </w:pPr>
      <w:r>
        <w:t>VII. Reference Schemas</w:t>
      </w:r>
    </w:p>
    <w:p>
      <w:r>
        <w:t>The Autonomaton Pattern is implemented through structured data—not proprietary APIs. The following schemas are illustrative, not exhaustive. They show enough structure that a developer can say “I could build this” and enough constraint that an architect can say “I can audit this.”</w:t>
      </w:r>
    </w:p>
    <w:p>
      <w:pPr>
        <w:pStyle w:val="Heading1"/>
      </w:pPr>
      <w:r>
        <w:t>VIII. The Implications</w:t>
      </w:r>
    </w:p>
    <w:p>
      <w:pPr>
        <w:pStyle w:val="Heading2"/>
      </w:pPr>
      <w:r>
        <w:t>Governance by Architecture</w:t>
      </w:r>
    </w:p>
    <w:p>
      <w:pPr>
        <w:pStyle w:val="Heading2"/>
      </w:pPr>
      <w:r>
        <w:t>Auditability as Byproduct</w:t>
      </w:r>
    </w:p>
    <w:p>
      <w:pPr>
        <w:pStyle w:val="Heading2"/>
      </w:pPr>
      <w:r>
        <w:t>Sovereign Computing</w:t>
      </w:r>
    </w:p>
    <w:p>
      <w:r>
        <w:t>The Autonomaton Pattern is not a product. It is a set of structural constraints that produce properties the industry currently treats as features—governance, auditability, sovereignty, cost reduction—as architectural byproducts. The implications extend beyond any single implementation.</w:t>
      </w:r>
    </w:p>
    <w:p>
      <w:r>
        <w:t>Policy documents describe what systems should do. Architecture determines what systems can do. The Autonomaton makes governance structural: the Zone Model enforces authority boundaries, the pipeline enforces sequencing, and declarative configuration makes every governance decision inspectable. You do not need a compliance team to audit an Autonomaton. You read the config.</w:t>
      </w:r>
    </w:p>
    <w:p>
      <w:r>
        <w:t>The five-stage pipeline produces a complete audit trail as a consequence of normal operation—not as an additional feature bolted on after the fact. Every action traces back to a telemetry entry, a classification decision, a skill specification, a zone boundary, and an approval record. The question “why did the system do that?” always has a readable answer.</w:t>
      </w:r>
    </w:p>
    <w:p>
      <w:r>
        <w:t>The operator owns the telemetry. The operator owns the configuration. The operator owns the skills. The behavioral intelligence the system accumulates belongs to the person who generated it—not to the model provider, not to the platform, not to the infrastructure vendor. Switch providers without losing institutional knowledge. Inspect your own data without filing a request. Delete a skill and know it is gone.</w:t>
      </w:r>
    </w:p>
    <w:p>
      <w:pPr>
        <w:pStyle w:val="Heading2"/>
      </w:pPr>
      <w:r>
        <w:t>The Vision</w:t>
      </w:r>
    </w:p>
    <w:p>
      <w:r>
        <w:t>The Autonomaton Pattern is Act One of a three-act architecture.</w:t>
      </w:r>
    </w:p>
    <w:p>
      <w:r>
        <w:t>Act One: The Autonomaton. The transistor. A single node—one person, one cognitive engine, one knowledge store—that authors its own improvement through the invariant pipeline. This document.</w:t>
      </w:r>
    </w:p>
    <w:p>
      <w:r>
        <w:t>Act Two: The Trellis. The integrated circuit. A domain-scale knowledge architecture that organizes what individual Autonomaton nodes produce—making expertise navigable, refinable, and composable across an organization or discipline.</w:t>
      </w:r>
    </w:p>
    <w:p>
      <w:r>
        <w:t>Act Three: The Knowledge Commons. The network. A distributed economy where Autonomaton nodes share refined knowledge with provenance, attribution, and market pricing intact. Not a database. A protocol for sovereign expertise exchange.</w:t>
      </w:r>
    </w:p>
    <w:p>
      <w:r>
        <w:t>Same architectural DNA at every scale. The pattern you just read is the entry point.</w:t>
      </w:r>
    </w:p>
    <w:p>
      <w:pPr>
        <w:spacing w:before="240" w:after="240"/>
        <w:ind w:left="720"/>
      </w:pPr>
      <w:r>
        <w:rPr>
          <w:i/>
          <w:color w:val="D4621A"/>
        </w:rPr>
        <w:t>Four companies are spending $650 billion to build nuclear reactors so they can boil water. The Autonomaton Pattern is the still. Three files and a loop. The rest is distillation.</w:t>
      </w:r>
    </w:p>
    <w:p>
      <w:r>
        <w:t>This document is published under Creative Commons Attribution 4.0 International (CC BY 4.0). You are free to share, adapt, and build upon this work for any purpose, provided you give appropriate credit.</w:t>
      </w:r>
    </w:p>
    <w:p>
      <w:r>
        <w:t>Jim Calhoun · The Grove Foundation · Indianapolis · jim@the-grove.ai</w:t>
      </w:r>
    </w:p>
    <w:p>
      <w:r>
        <w:t>the-grove.ai · © 2026 The Grove Foundation</w:t>
      </w:r>
    </w:p>
    <w:p/>
    <w:p>
      <w:r>
        <w:t>—</w:t>
      </w:r>
    </w:p>
    <w:p/>
    <w:p>
      <w:r>
        <w:t>The Grove Foundation publishes open architectural standards for AI governance.</w:t>
      </w:r>
    </w:p>
    <w:p>
      <w:r>
        <w:rPr>
          <w:color w:val="808080"/>
          <w:sz w:val="18"/>
        </w:rPr>
        <w:t>the-grove.ai · CC BY 4.0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101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101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0101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