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Singapore Health Insurance Regulatory Rulebook</w:t>
      </w:r>
    </w:p>
    <w:p>
      <w:r>
        <w:rPr>
          <w:b w:val="0"/>
          <w:i/>
          <w:sz w:val="24"/>
        </w:rPr>
        <w:t>For auditing Integrated Shield Plan (IP), rider and other accident &amp; health (A&amp;H) policy wordings against Singapore regulation</w:t>
      </w:r>
    </w:p>
    <w:p>
      <w:r>
        <w:rPr>
          <w:b w:val="0"/>
          <w:i w:val="0"/>
          <w:sz w:val="18"/>
        </w:rPr>
        <w:t>Prepared for: Jai Ganesh Shekar   |   Compiled: 18 Oct 2026 (Asia/Calcutta)   |   Rules: 82   |   Sources: official primary sources only (MAS, MOH, CPF Board, SSO/AGC, LIA, GIA, FIDReC, SDIC)</w:t>
      </w:r>
    </w:p>
    <w:p>
      <w:pPr>
        <w:pStyle w:val="Heading1"/>
      </w:pPr>
      <w:r>
        <w:t>1. How to use this rulebook</w:t>
      </w:r>
    </w:p>
    <w:p>
      <w:r>
        <w:rPr>
          <w:b w:val="0"/>
          <w:i w:val="0"/>
        </w:rPr>
        <w:t>Each rule has an ID (SG-xxx-nn), a plain-English statement, a concrete wording test, and a full citation (document title, issuing body, document number, date, clause, URL). The companion Excel file has one row per rule with the same columns so you can add PASS / FAIL / N/A results per policy.</w:t>
      </w:r>
    </w:p>
    <w:p>
      <w:r>
        <w:rPr>
          <w:b w:val="0"/>
          <w:i w:val="0"/>
        </w:rPr>
        <w:t>Verification status is shown for every rule. 'Verified – primary text read' means the clause was read in the source document itself during compilation. 'Verified – official web page' means it comes from an official MOH/CPF/SDIC page or press release (authoritative but not the statutory text). 'Partially verified' and 'UNVERIFIED' rules are flagged and explained in the notes. Do not cite those as settled rules without checking further.</w:t>
      </w:r>
    </w:p>
    <w:p>
      <w:r>
        <w:rPr>
          <w:b w:val="0"/>
          <w:i w:val="0"/>
        </w:rPr>
        <w:t>Binding force differs. Acts and Regulations (SSO) and MAS Notices are legally binding (breaching Notice 120 Part I is an offence under Insurance Act s 142(3)). MOH IP/rider design requirements are imposed through the MediSave-approval framework. MAS Guidelines and Information Papers set supervisory expectations. LIA/GIA guidelines, codes and Member Undertakings are industry standards that members must follow and that MAS Notices refer to.</w:t>
      </w:r>
    </w:p>
    <w:p>
      <w:r>
        <w:rPr>
          <w:b w:val="0"/>
          <w:i w:val="0"/>
        </w:rPr>
        <w:t>Suggested audit order for an IP and rider: (1) classify the product (IP / rider / short-term or long-term A&amp;H, SG-IA-04); (2) run the statutory rules (SG-IA, SG-PMIS); (3) MOH design rules (SG-RID, SG-IP, SG-MSHL comparison figures); (4) Notice 120 document-level rules (SG-N120); (5) LIA/GIA product summary checklist (SG-LG-02); (6) CI definitions if there is a CI benefit (SG-LIA); (7) complaints and FIDReC (SG-FID).</w:t>
      </w:r>
    </w:p>
    <w:p>
      <w:pPr>
        <w:pStyle w:val="Heading1"/>
      </w:pPr>
      <w:r>
        <w:t>2. Key findings (summary)</w:t>
      </w:r>
    </w:p>
    <w:p>
      <w:pPr>
        <w:pStyle w:val="ListBullet"/>
      </w:pPr>
      <w:r>
        <w:rPr>
          <w:sz w:val="20"/>
        </w:rPr>
        <w:t>Singapore has no IRDAI-style master circular for health insurance. The rules are spread across the Insurance Act and its Regulations (MAS), the MediShield Life Act and two sets of Regulations (MOH/CPF), MAS Notice 120, MOH IP/rider design requirements, and LIA/GIA industry guidelines.</w:t>
      </w:r>
    </w:p>
    <w:p>
      <w:pPr>
        <w:pStyle w:val="ListBullet"/>
      </w:pPr>
      <w:r>
        <w:rPr>
          <w:sz w:val="20"/>
        </w:rPr>
        <w:t>The closest thing to proportionate deduction is MediShield Life pro-ration: non-subsidised and PR bills are cut by fixed factors before the claim is calculated (e.g., private hospital 16% ward / 10% surgical; Class A 27% / 25%; B1 34% / 35%). No rule was found that sets IP-level pro-ration or limits which bill items can be pro-rated (UNVERIFIED gap).</w:t>
      </w:r>
    </w:p>
    <w:p>
      <w:pPr>
        <w:pStyle w:val="ListBullet"/>
      </w:pPr>
      <w:r>
        <w:rPr>
          <w:sz w:val="20"/>
        </w:rPr>
        <w:t>Rider co-payment: at least 5% co-payment for new riders from 1 Apr 2019 (riders bought 8 Mar 2018–31 Mar 2019 moved over by 1 Apr 2021), with a minimum $3,000 cap from 2018. For riders sold from 1 Apr 2026: no cover of the MOH minimum IP deductible ($1,500–$3,500 depending on ward), and a cap of at least $6,000 that excludes the deductible and only applies to panel or pre-authorised claims. Riders bought 27 Nov 2025–31 Mar 2026 must move to the new design by the first renewal after 1 Apr 2028.</w:t>
      </w:r>
    </w:p>
    <w:p>
      <w:pPr>
        <w:pStyle w:val="ListBullet"/>
      </w:pPr>
      <w:r>
        <w:rPr>
          <w:sz w:val="20"/>
        </w:rPr>
        <w:t>MediShield Life (from 1 Apr 2025 / 1 Jun 2026): $200,000 policy-year limit and no lifetime limit; deductibles of $1,500–$4,500 plus a new $500 outpatient deductible; co-insurance of 10% / 5% / 3%. It covers pre-existing conditions for life, with a 30% loading for 10 years for listed serious conditions. An IP's private component may exclude pre-existing conditions, but MediShield Life still pays.</w:t>
      </w:r>
    </w:p>
    <w:p>
      <w:pPr>
        <w:pStyle w:val="ListBullet"/>
      </w:pPr>
      <w:r>
        <w:rPr>
          <w:sz w:val="20"/>
        </w:rPr>
        <w:t>Free look: at least 14 days from receipt (Insurance (General Provisions) Regulations reg 8). For IPs, all private-component premiums must be refunded within the free look, with at least a pro-rata refund afterwards (PMIS reg 9). MediSave can pay the private component only up to $300, $600 or $900 a year depending on age (PMIS First Schedule). Rider premiums must be paid in cash.</w:t>
      </w:r>
    </w:p>
    <w:p>
      <w:pPr>
        <w:pStyle w:val="ListBullet"/>
      </w:pPr>
      <w:r>
        <w:rPr>
          <w:sz w:val="20"/>
        </w:rPr>
        <w:t>There is no moratorium, no portability right, no regulatory maximum waiting period and no statutory claim-settlement timeline for health claims. These are the main gaps compared with India. Instead, Singapore relies on mandatory disclosure: Notice 120 Appendix A sets document-by-document IP disclosures, and there is 30-day notice for changes to terms and a 30-day reinstatement without a health declaration after switching.</w:t>
      </w:r>
    </w:p>
    <w:p>
      <w:pPr>
        <w:pStyle w:val="ListBullet"/>
      </w:pPr>
      <w:r>
        <w:rPr>
          <w:sz w:val="20"/>
        </w:rPr>
        <w:t>Disputes: FIDReC is the only MAS-approved scheme. A complaint can go to FIDReC after the insurer's final reply or 4 weeks, and must be filed within 6 months of the final reply. Adjudication is capped at S$150,000 per claim and binds the insurer if the consumer accepts. Under the PPF Scheme, A&amp;H policy benefits are protected without caps, except accelerating riders.</w:t>
      </w:r>
    </w:p>
    <w:p>
      <w:pPr>
        <w:pStyle w:val="Heading1"/>
      </w:pPr>
      <w:r>
        <w:t>3. Governing bodies and their roles</w:t>
      </w:r>
    </w:p>
    <w:tbl>
      <w:tblPr>
        <w:tblStyle w:val="TableGrid"/>
        <w:tblW w:type="auto" w:w="0"/>
        <w:tblLook w:firstColumn="1" w:firstRow="1" w:lastColumn="0" w:lastRow="0" w:noHBand="0" w:noVBand="1" w:val="04A0"/>
      </w:tblPr>
      <w:tblGrid>
        <w:gridCol w:w="4675"/>
        <w:gridCol w:w="4675"/>
        <w:gridCol w:w="4675"/>
      </w:tblGrid>
      <w:tr>
        <w:trPr>
          <w:tblHeader w:val="true"/>
        </w:trPr>
        <w:tc>
          <w:tcPr>
            <w:tcW w:type="dxa" w:w="2835"/>
            <w:shd w:val="clear" w:color="auto" w:fill="1F3864"/>
          </w:tcPr>
          <w:p>
            <w:r/>
            <w:r>
              <w:rPr>
                <w:b/>
                <w:color w:val="FFFFFF"/>
                <w:sz w:val="18"/>
              </w:rPr>
              <w:t>Body</w:t>
            </w:r>
          </w:p>
        </w:tc>
        <w:tc>
          <w:tcPr>
            <w:tcW w:type="dxa" w:w="9071"/>
            <w:shd w:val="clear" w:color="auto" w:fill="1F3864"/>
          </w:tcPr>
          <w:p>
            <w:r/>
            <w:r>
              <w:rPr>
                <w:b/>
                <w:color w:val="FFFFFF"/>
                <w:sz w:val="18"/>
              </w:rPr>
              <w:t>Role relevant to health insurance</w:t>
            </w:r>
          </w:p>
        </w:tc>
        <w:tc>
          <w:tcPr>
            <w:tcW w:type="dxa" w:w="3118"/>
            <w:shd w:val="clear" w:color="auto" w:fill="1F3864"/>
          </w:tcPr>
          <w:p>
            <w:r/>
            <w:r>
              <w:rPr>
                <w:b/>
                <w:color w:val="FFFFFF"/>
                <w:sz w:val="18"/>
              </w:rPr>
              <w:t>Basis</w:t>
            </w:r>
          </w:p>
        </w:tc>
      </w:tr>
      <w:tr>
        <w:tc>
          <w:tcPr>
            <w:tcW w:type="dxa" w:w="2835"/>
          </w:tcPr>
          <w:p>
            <w:r/>
            <w:r>
              <w:rPr>
                <w:sz w:val="18"/>
              </w:rPr>
              <w:t>Monetary Authority of Singapore (MAS)</w:t>
            </w:r>
          </w:p>
        </w:tc>
        <w:tc>
          <w:tcPr>
            <w:tcW w:type="dxa" w:w="9071"/>
          </w:tcPr>
          <w:p>
            <w:r/>
            <w:r>
              <w:rPr>
                <w:sz w:val="18"/>
              </w:rPr>
              <w:t>Integrated financial regulator. Licenses and supervises insurers, insurance brokers and financial advisers under the Insurance Act 1966 and Financial Advisers Act 2001; issues Notices (binding; breach can be an offence) and Guidelines (supervisory expectations). Can require policy/proposal forms and order misleading forms withdrawn (IA s 23). Approves dispute resolution schemes (FSMA 2022 / DRS Regulations 2023).</w:t>
            </w:r>
          </w:p>
        </w:tc>
        <w:tc>
          <w:tcPr>
            <w:tcW w:type="dxa" w:w="3118"/>
          </w:tcPr>
          <w:p>
            <w:r/>
            <w:r>
              <w:rPr>
                <w:sz w:val="18"/>
              </w:rPr>
              <w:t>IA s 23; MAS Notice 120 para 1; DRS Regs reg 4</w:t>
            </w:r>
          </w:p>
        </w:tc>
      </w:tr>
      <w:tr>
        <w:tc>
          <w:tcPr>
            <w:tcW w:type="dxa" w:w="2835"/>
          </w:tcPr>
          <w:p>
            <w:r/>
            <w:r>
              <w:rPr>
                <w:sz w:val="18"/>
              </w:rPr>
              <w:t>Ministry of Health (MOH)</w:t>
            </w:r>
          </w:p>
        </w:tc>
        <w:tc>
          <w:tcPr>
            <w:tcW w:type="dxa" w:w="9071"/>
          </w:tcPr>
          <w:p>
            <w:r/>
            <w:r>
              <w:rPr>
                <w:sz w:val="18"/>
              </w:rPr>
              <w:t>Policy owner of MediShield Life and the IP framework. Minister approves MediSave-approved plans (IPs); sets MediShield Life benefits, claim limits, deductibles, pro-ration and IP/rider design requirements (e.g., minimum 5% rider co-payment, minimum IP deductibles, 2026 rider rules) and the Cancer Drug List.</w:t>
            </w:r>
          </w:p>
        </w:tc>
        <w:tc>
          <w:tcPr>
            <w:tcW w:type="dxa" w:w="3118"/>
          </w:tcPr>
          <w:p>
            <w:r/>
            <w:r>
              <w:rPr>
                <w:sz w:val="18"/>
              </w:rPr>
              <w:t>MSHL Act 2015; PMIS Regs reg 2; MOH press release 26 Nov 2025</w:t>
            </w:r>
          </w:p>
        </w:tc>
      </w:tr>
      <w:tr>
        <w:tc>
          <w:tcPr>
            <w:tcW w:type="dxa" w:w="2835"/>
          </w:tcPr>
          <w:p>
            <w:r/>
            <w:r>
              <w:rPr>
                <w:sz w:val="18"/>
              </w:rPr>
              <w:t>Central Provident Fund Board (CPF Board)</w:t>
            </w:r>
          </w:p>
        </w:tc>
        <w:tc>
          <w:tcPr>
            <w:tcW w:type="dxa" w:w="9071"/>
          </w:tcPr>
          <w:p>
            <w:r/>
            <w:r>
              <w:rPr>
                <w:sz w:val="18"/>
              </w:rPr>
              <w:t>Administers the MediShield Life Scheme and the MediShield Life Fund; approves MediSave withdrawals for premiums subject to Additional Withdrawal Limits; levies premium loading for serious pre-existing conditions.</w:t>
            </w:r>
          </w:p>
        </w:tc>
        <w:tc>
          <w:tcPr>
            <w:tcW w:type="dxa" w:w="3118"/>
          </w:tcPr>
          <w:p>
            <w:r/>
            <w:r>
              <w:rPr>
                <w:sz w:val="18"/>
              </w:rPr>
              <w:t>MSHL Act s 3(2); PMIS Regs regs 4-5; MSHL Regs reg 9</w:t>
            </w:r>
          </w:p>
        </w:tc>
      </w:tr>
      <w:tr>
        <w:tc>
          <w:tcPr>
            <w:tcW w:type="dxa" w:w="2835"/>
          </w:tcPr>
          <w:p>
            <w:r/>
            <w:r>
              <w:rPr>
                <w:sz w:val="18"/>
              </w:rPr>
              <w:t>Life Insurance Association, Singapore (LIA)</w:t>
            </w:r>
          </w:p>
        </w:tc>
        <w:tc>
          <w:tcPr>
            <w:tcW w:type="dxa" w:w="9071"/>
          </w:tcPr>
          <w:p>
            <w:r/>
            <w:r>
              <w:rPr>
                <w:sz w:val="18"/>
              </w:rPr>
              <w:t>Industry body for life insurers (incl. all IP insurers). Issues Member Undertakings and guidelines: CI Framework/standard definitions (MU 58/25), IP pre-authorisation good practices, standard pre-authorisation form, joint A&amp;H disclosure guidelines with GIA. Not a statutory regulator; MAS Notices reference industry standards (Notice 120 paras 19, 28; Notice 318 para 3B).</w:t>
            </w:r>
          </w:p>
        </w:tc>
        <w:tc>
          <w:tcPr>
            <w:tcW w:type="dxa" w:w="3118"/>
          </w:tcPr>
          <w:p>
            <w:r/>
            <w:r>
              <w:rPr>
                <w:sz w:val="18"/>
              </w:rPr>
              <w:t>LIA MU 58/25; LIA/GIA A&amp;H Guidelines Nov 2025</w:t>
            </w:r>
          </w:p>
        </w:tc>
      </w:tr>
      <w:tr>
        <w:tc>
          <w:tcPr>
            <w:tcW w:type="dxa" w:w="2835"/>
          </w:tcPr>
          <w:p>
            <w:r/>
            <w:r>
              <w:rPr>
                <w:sz w:val="18"/>
              </w:rPr>
              <w:t>General Insurance Association of Singapore (GIA)</w:t>
            </w:r>
          </w:p>
        </w:tc>
        <w:tc>
          <w:tcPr>
            <w:tcW w:type="dxa" w:w="9071"/>
          </w:tcPr>
          <w:p>
            <w:r/>
            <w:r>
              <w:rPr>
                <w:sz w:val="18"/>
              </w:rPr>
              <w:t>Industry body for general insurers (which also write short-term health and PA). Issues the Singapore General Insurance Code of Practice (claims and complaint service standards, free look) and co-issues A&amp;H disclosure guidelines with LIA. Code is enforced by GIA, not MAS.</w:t>
            </w:r>
          </w:p>
        </w:tc>
        <w:tc>
          <w:tcPr>
            <w:tcW w:type="dxa" w:w="3118"/>
          </w:tcPr>
          <w:p>
            <w:r/>
            <w:r>
              <w:rPr>
                <w:sz w:val="18"/>
              </w:rPr>
              <w:t>GIA Code of Practice (25 Oct 2022)</w:t>
            </w:r>
          </w:p>
        </w:tc>
      </w:tr>
      <w:tr>
        <w:tc>
          <w:tcPr>
            <w:tcW w:type="dxa" w:w="2835"/>
          </w:tcPr>
          <w:p>
            <w:r/>
            <w:r>
              <w:rPr>
                <w:sz w:val="18"/>
              </w:rPr>
              <w:t>Financial Industry Disputes Resolution Centre (FIDReC)</w:t>
            </w:r>
          </w:p>
        </w:tc>
        <w:tc>
          <w:tcPr>
            <w:tcW w:type="dxa" w:w="9071"/>
          </w:tcPr>
          <w:p>
            <w:r/>
            <w:r>
              <w:rPr>
                <w:sz w:val="18"/>
              </w:rPr>
              <w:t>Sole MAS-approved dispute resolution scheme; direct insurers serving individuals must be members. Mediation then adjudication; adjudication capped at S$150,000 per claim; award binds insurer if consumer accepts.</w:t>
            </w:r>
          </w:p>
        </w:tc>
        <w:tc>
          <w:tcPr>
            <w:tcW w:type="dxa" w:w="3118"/>
          </w:tcPr>
          <w:p>
            <w:r/>
            <w:r>
              <w:rPr>
                <w:sz w:val="18"/>
              </w:rPr>
              <w:t>DRS Regs First &amp; Second Schedules; FIDReC Terms of Reference v2.2 (1 Jul 2025)</w:t>
            </w:r>
          </w:p>
        </w:tc>
      </w:tr>
      <w:tr>
        <w:tc>
          <w:tcPr>
            <w:tcW w:type="dxa" w:w="2835"/>
          </w:tcPr>
          <w:p>
            <w:r/>
            <w:r>
              <w:rPr>
                <w:sz w:val="18"/>
              </w:rPr>
              <w:t>Singapore Deposit Insurance Corporation (SDIC) – Policy Owners' Protection (PPF) Scheme</w:t>
            </w:r>
          </w:p>
        </w:tc>
        <w:tc>
          <w:tcPr>
            <w:tcW w:type="dxa" w:w="9071"/>
          </w:tcPr>
          <w:p>
            <w:r/>
            <w:r>
              <w:rPr>
                <w:sz w:val="18"/>
              </w:rPr>
              <w:t>Administers PPF Scheme under the Deposit Insurance and Policy Owners' Protection Schemes Act 2011. If a PPF member insurer fails, guaranteed benefits of A&amp;H policies are protected without caps (accelerating riders follow main-policy caps).</w:t>
            </w:r>
          </w:p>
        </w:tc>
        <w:tc>
          <w:tcPr>
            <w:tcW w:type="dxa" w:w="3118"/>
          </w:tcPr>
          <w:p>
            <w:r/>
            <w:r>
              <w:rPr>
                <w:sz w:val="18"/>
              </w:rPr>
              <w:t>DIPOPS Act 2011; SDIC PPF Entitlement page</w:t>
            </w:r>
          </w:p>
        </w:tc>
      </w:tr>
    </w:tbl>
    <w:p>
      <w:pPr>
        <w:pStyle w:val="Heading1"/>
      </w:pPr>
      <w:r>
        <w:t>4. Statutes and subsidiary legislation</w:t>
      </w:r>
    </w:p>
    <w:tbl>
      <w:tblPr>
        <w:tblStyle w:val="TableGrid"/>
        <w:tblW w:type="auto" w:w="0"/>
        <w:tblLook w:firstColumn="1" w:firstRow="1" w:lastColumn="0" w:lastRow="0" w:noHBand="0" w:noVBand="1" w:val="04A0"/>
      </w:tblPr>
      <w:tblGrid>
        <w:gridCol w:w="4675"/>
        <w:gridCol w:w="4675"/>
        <w:gridCol w:w="4675"/>
      </w:tblGrid>
      <w:tr>
        <w:trPr>
          <w:tblHeader w:val="true"/>
        </w:trPr>
        <w:tc>
          <w:tcPr>
            <w:tcW w:type="dxa" w:w="3402"/>
            <w:shd w:val="clear" w:color="auto" w:fill="1F3864"/>
          </w:tcPr>
          <w:p>
            <w:r/>
            <w:r>
              <w:rPr>
                <w:b/>
                <w:color w:val="FFFFFF"/>
                <w:sz w:val="18"/>
              </w:rPr>
              <w:t>Instrument</w:t>
            </w:r>
          </w:p>
        </w:tc>
        <w:tc>
          <w:tcPr>
            <w:tcW w:type="dxa" w:w="7937"/>
            <w:shd w:val="clear" w:color="auto" w:fill="1F3864"/>
          </w:tcPr>
          <w:p>
            <w:r/>
            <w:r>
              <w:rPr>
                <w:b/>
                <w:color w:val="FFFFFF"/>
                <w:sz w:val="18"/>
              </w:rPr>
              <w:t>Health-insurance provisions used in this rulebook</w:t>
            </w:r>
          </w:p>
        </w:tc>
        <w:tc>
          <w:tcPr>
            <w:tcW w:type="dxa" w:w="3685"/>
            <w:shd w:val="clear" w:color="auto" w:fill="1F3864"/>
          </w:tcPr>
          <w:p>
            <w:r/>
            <w:r>
              <w:rPr>
                <w:b/>
                <w:color w:val="FFFFFF"/>
                <w:sz w:val="18"/>
              </w:rPr>
              <w:t>SSO link</w:t>
            </w:r>
          </w:p>
        </w:tc>
      </w:tr>
      <w:tr>
        <w:tc>
          <w:tcPr>
            <w:tcW w:type="dxa" w:w="3402"/>
          </w:tcPr>
          <w:p>
            <w:r/>
            <w:r>
              <w:rPr>
                <w:sz w:val="18"/>
              </w:rPr>
              <w:t>Insurance Act 1966 (2020 Rev Ed)</w:t>
            </w:r>
          </w:p>
        </w:tc>
        <w:tc>
          <w:tcPr>
            <w:tcW w:type="dxa" w:w="7937"/>
          </w:tcPr>
          <w:p>
            <w:r/>
            <w:r>
              <w:rPr>
                <w:sz w:val="18"/>
              </w:rPr>
              <w:t>Licensing/supervision of insurers and intermediaries; s 22 actuarial premium rates for life &amp; long-term A&amp;H; s 23 control of forms and mandatory proposal-form warning; s 67 pre-contract disclosure by intermediaries; s 72 power to set intermediary conduct standards (basis of Notice 120); First Schedule definitions of 'accident and health policy', 'long-term' and 'short-term' A&amp;H policy.</w:t>
            </w:r>
          </w:p>
        </w:tc>
        <w:tc>
          <w:tcPr>
            <w:tcW w:type="dxa" w:w="3685"/>
          </w:tcPr>
          <w:p>
            <w:r/>
            <w:r>
              <w:rPr>
                <w:sz w:val="18"/>
              </w:rPr>
              <w:t>https://sso.agc.gov.sg/Act/IA1966</w:t>
            </w:r>
          </w:p>
        </w:tc>
      </w:tr>
      <w:tr>
        <w:tc>
          <w:tcPr>
            <w:tcW w:type="dxa" w:w="3402"/>
          </w:tcPr>
          <w:p>
            <w:r/>
            <w:r>
              <w:rPr>
                <w:sz w:val="18"/>
              </w:rPr>
              <w:t>Insurance (General Provisions) Regulations (IA1966-RG17)</w:t>
            </w:r>
          </w:p>
        </w:tc>
        <w:tc>
          <w:tcPr>
            <w:tcW w:type="dxa" w:w="7937"/>
          </w:tcPr>
          <w:p>
            <w:r/>
            <w:r>
              <w:rPr>
                <w:sz w:val="18"/>
              </w:rPr>
              <w:t>Reg 8: mandatory free-look ≥14 days from receipt for life and A&amp;H policies of ≥1 year; refund of sums paid less underwriting expenses.</w:t>
            </w:r>
          </w:p>
        </w:tc>
        <w:tc>
          <w:tcPr>
            <w:tcW w:type="dxa" w:w="3685"/>
          </w:tcPr>
          <w:p>
            <w:r/>
            <w:r>
              <w:rPr>
                <w:sz w:val="18"/>
              </w:rPr>
              <w:t>https://sso.agc.gov.sg/SL/IA1966-RG17?ProvIds=pr8-</w:t>
            </w:r>
          </w:p>
        </w:tc>
      </w:tr>
      <w:tr>
        <w:tc>
          <w:tcPr>
            <w:tcW w:type="dxa" w:w="3402"/>
          </w:tcPr>
          <w:p>
            <w:r/>
            <w:r>
              <w:rPr>
                <w:sz w:val="18"/>
              </w:rPr>
              <w:t>MediShield Life Scheme Act 2015 (Act 4 of 2015)</w:t>
            </w:r>
          </w:p>
        </w:tc>
        <w:tc>
          <w:tcPr>
            <w:tcW w:type="dxa" w:w="7937"/>
          </w:tcPr>
          <w:p>
            <w:r/>
            <w:r>
              <w:rPr>
                <w:sz w:val="18"/>
              </w:rPr>
              <w:t>Establishes MediShield Life for all citizens and PRs (s 3); premiums (s 4); MediShield Life Council (s 8); offences for false declarations/claims (s 19); regulation-making power (s 34).</w:t>
            </w:r>
          </w:p>
        </w:tc>
        <w:tc>
          <w:tcPr>
            <w:tcW w:type="dxa" w:w="3685"/>
          </w:tcPr>
          <w:p>
            <w:r/>
            <w:r>
              <w:rPr>
                <w:sz w:val="18"/>
              </w:rPr>
              <w:t>https://sso.agc.gov.sg/Act/MLSA2015</w:t>
            </w:r>
          </w:p>
        </w:tc>
      </w:tr>
      <w:tr>
        <w:tc>
          <w:tcPr>
            <w:tcW w:type="dxa" w:w="3402"/>
          </w:tcPr>
          <w:p>
            <w:r/>
            <w:r>
              <w:rPr>
                <w:sz w:val="18"/>
              </w:rPr>
              <w:t>MediShield Life Scheme Regulations 2015 (S 622/2015)</w:t>
            </w:r>
          </w:p>
        </w:tc>
        <w:tc>
          <w:tcPr>
            <w:tcW w:type="dxa" w:w="7937"/>
          </w:tcPr>
          <w:p>
            <w:r/>
            <w:r>
              <w:rPr>
                <w:sz w:val="18"/>
              </w:rPr>
              <w:t>Premium loading for serious pre-existing conditions (reg 9); benefits and exclusions (reg 12, Third Schedule); claim limits, deductible and co-insurance formulae (reg 13); pro-ration factors (Fourth Schedule); MediShield Life Component of IPs (Part 5).</w:t>
            </w:r>
          </w:p>
        </w:tc>
        <w:tc>
          <w:tcPr>
            <w:tcW w:type="dxa" w:w="3685"/>
          </w:tcPr>
          <w:p>
            <w:r/>
            <w:r>
              <w:rPr>
                <w:sz w:val="18"/>
              </w:rPr>
              <w:t>https://sso.agc.gov.sg/SL/MLSA2015-S622-2015</w:t>
            </w:r>
          </w:p>
        </w:tc>
      </w:tr>
      <w:tr>
        <w:tc>
          <w:tcPr>
            <w:tcW w:type="dxa" w:w="3402"/>
          </w:tcPr>
          <w:p>
            <w:r/>
            <w:r>
              <w:rPr>
                <w:sz w:val="18"/>
              </w:rPr>
              <w:t>MediShield Life Scheme (Private Medical Insurance Scheme) Regulations 2015 (S 623/2015)</w:t>
            </w:r>
          </w:p>
        </w:tc>
        <w:tc>
          <w:tcPr>
            <w:tcW w:type="dxa" w:w="7937"/>
          </w:tcPr>
          <w:p>
            <w:r/>
            <w:r>
              <w:rPr>
                <w:sz w:val="18"/>
              </w:rPr>
              <w:t>Definitions of IP / MediSave-approved plan; MediSave withdrawals for IP premiums (reg 4); Additional Withdrawal Limits (reg 5, First Schedule: $300/$600/$900); 12-month insurance period (reg 7); termination on later plan (reg 8); premium refunds (reg 9); third-party reimbursement (reg 10).</w:t>
            </w:r>
          </w:p>
        </w:tc>
        <w:tc>
          <w:tcPr>
            <w:tcW w:type="dxa" w:w="3685"/>
          </w:tcPr>
          <w:p>
            <w:r/>
            <w:r>
              <w:rPr>
                <w:sz w:val="18"/>
              </w:rPr>
              <w:t>https://sso.agc.gov.sg/SL/MLSA2015-S623-2015</w:t>
            </w:r>
          </w:p>
        </w:tc>
      </w:tr>
      <w:tr>
        <w:tc>
          <w:tcPr>
            <w:tcW w:type="dxa" w:w="3402"/>
          </w:tcPr>
          <w:p>
            <w:r/>
            <w:r>
              <w:rPr>
                <w:sz w:val="18"/>
              </w:rPr>
              <w:t>Financial Advisers Act 2001</w:t>
            </w:r>
          </w:p>
        </w:tc>
        <w:tc>
          <w:tcPr>
            <w:tcW w:type="dxa" w:w="7937"/>
          </w:tcPr>
          <w:p>
            <w:r/>
            <w:r>
              <w:rPr>
                <w:sz w:val="18"/>
              </w:rPr>
              <w:t>Life policies are 'investment products' (s 2); product disclosure (s 34); reasonable-basis recommendations (s 36). Notice 120 defers to the FAA for life policies with A&amp;H benefits.</w:t>
            </w:r>
          </w:p>
        </w:tc>
        <w:tc>
          <w:tcPr>
            <w:tcW w:type="dxa" w:w="3685"/>
          </w:tcPr>
          <w:p>
            <w:r/>
            <w:r>
              <w:rPr>
                <w:sz w:val="18"/>
              </w:rPr>
              <w:t>https://sso.agc.gov.sg/Act/FAA2001</w:t>
            </w:r>
          </w:p>
        </w:tc>
      </w:tr>
      <w:tr>
        <w:tc>
          <w:tcPr>
            <w:tcW w:type="dxa" w:w="3402"/>
          </w:tcPr>
          <w:p>
            <w:r/>
            <w:r>
              <w:rPr>
                <w:sz w:val="18"/>
              </w:rPr>
              <w:t>Financial Services and Markets (Dispute Resolution Schemes) Regulations 2023 (S 232/2023)</w:t>
            </w:r>
          </w:p>
        </w:tc>
        <w:tc>
          <w:tcPr>
            <w:tcW w:type="dxa" w:w="7937"/>
          </w:tcPr>
          <w:p>
            <w:r/>
            <w:r>
              <w:rPr>
                <w:sz w:val="18"/>
              </w:rPr>
              <w:t>FIDReC is the approved scheme; direct insurers (excluding specialist / non-individual-only insurers), direct insurance brokers and licensed FAs must be members.</w:t>
            </w:r>
          </w:p>
        </w:tc>
        <w:tc>
          <w:tcPr>
            <w:tcW w:type="dxa" w:w="3685"/>
          </w:tcPr>
          <w:p>
            <w:r/>
            <w:r>
              <w:rPr>
                <w:sz w:val="18"/>
              </w:rPr>
              <w:t>https://sso.agc.gov.sg/SL/FSMA2022-S232-2023</w:t>
            </w:r>
          </w:p>
        </w:tc>
      </w:tr>
      <w:tr>
        <w:tc>
          <w:tcPr>
            <w:tcW w:type="dxa" w:w="3402"/>
          </w:tcPr>
          <w:p>
            <w:r/>
            <w:r>
              <w:rPr>
                <w:sz w:val="18"/>
              </w:rPr>
              <w:t>Deposit Insurance and Policy Owners' Protection Schemes Act 2011</w:t>
            </w:r>
          </w:p>
        </w:tc>
        <w:tc>
          <w:tcPr>
            <w:tcW w:type="dxa" w:w="7937"/>
          </w:tcPr>
          <w:p>
            <w:r/>
            <w:r>
              <w:rPr>
                <w:sz w:val="18"/>
              </w:rPr>
              <w:t>Legal basis for the PPF Scheme administered by SDIC.</w:t>
            </w:r>
          </w:p>
        </w:tc>
        <w:tc>
          <w:tcPr>
            <w:tcW w:type="dxa" w:w="3685"/>
          </w:tcPr>
          <w:p>
            <w:r/>
            <w:r>
              <w:rPr>
                <w:sz w:val="18"/>
              </w:rPr>
              <w:t>https://sso.agc.gov.sg/Act/DIPOPSA2011</w:t>
            </w:r>
          </w:p>
        </w:tc>
      </w:tr>
    </w:tbl>
    <w:p>
      <w:r>
        <w:rPr>
          <w:b w:val="0"/>
          <w:i w:val="0"/>
          <w:sz w:val="18"/>
        </w:rPr>
        <w:t>Key MAS and industry documents: MAS Notice 120 (A&amp;H disclosure and advice; last revised 1 Jun 2022); MAS Notice 318 (life insurer market conduct; last revised 29 Jun 2018); Guidelines on Fair Dealing FSG-G04 (30 May 2024); Guidelines on Risk Management Practices for Insurance Business – Core Activities (Jan 2024); MAS Information Paper on LT A&amp;H advisory/sales (Apr 2025); LIA &amp; GIA A&amp;H Disclosure Guidelines (Nov 2025); LIA CI Framework 2024 (MU 58/25, 13 May 2025); LIA IP Pre-Authorisation Good Practices (8 Jan 2018); GIA Code of Practice (25 Oct 2022); FIDReC Terms of Reference v2.2 (1 Jul 2025).</w:t>
      </w:r>
    </w:p>
    <w:p>
      <w:pPr>
        <w:pStyle w:val="Heading1"/>
      </w:pPr>
      <w:r>
        <w:t>5. Rulebook</w:t>
      </w:r>
    </w:p>
    <w:p>
      <w:pPr>
        <w:pStyle w:val="Heading2"/>
      </w:pPr>
      <w:r>
        <w:t>1. Governing bodies &amp; jurisdiction</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SG-GOV-01</w:t>
            </w:r>
          </w:p>
        </w:tc>
        <w:tc>
          <w:tcPr>
            <w:tcW w:type="dxa" w:w="12643"/>
            <w:shd w:val="clear" w:color="auto" w:fill="D9E2F3"/>
          </w:tcPr>
          <w:p>
            <w:r/>
            <w:r>
              <w:rPr>
                <w:b/>
                <w:sz w:val="18"/>
              </w:rPr>
              <w:t>All insurers / all A&amp;H policies</w:t>
            </w:r>
          </w:p>
        </w:tc>
      </w:tr>
      <w:tr>
        <w:tc>
          <w:tcPr>
            <w:tcW w:type="dxa" w:w="2381"/>
          </w:tcPr>
          <w:p>
            <w:r/>
            <w:r>
              <w:rPr>
                <w:b/>
                <w:sz w:val="17"/>
              </w:rPr>
              <w:t>Rule</w:t>
            </w:r>
          </w:p>
        </w:tc>
        <w:tc>
          <w:tcPr>
            <w:tcW w:type="dxa" w:w="12643"/>
          </w:tcPr>
          <w:p>
            <w:r/>
            <w:r>
              <w:rPr>
                <w:b w:val="0"/>
                <w:sz w:val="18"/>
              </w:rPr>
              <w:t>MAS may require a Singapore insurer to submit its proposal forms, policy forms and brochures, and may direct the insurer to stop using any form or brochure that contravenes the Insurance Act or is in any respect likely to mislead.</w:t>
            </w:r>
          </w:p>
        </w:tc>
      </w:tr>
      <w:tr>
        <w:tc>
          <w:tcPr>
            <w:tcW w:type="dxa" w:w="2381"/>
          </w:tcPr>
          <w:p>
            <w:r/>
            <w:r>
              <w:rPr>
                <w:b/>
                <w:sz w:val="17"/>
              </w:rPr>
              <w:t>Wording test</w:t>
            </w:r>
          </w:p>
        </w:tc>
        <w:tc>
          <w:tcPr>
            <w:tcW w:type="dxa" w:w="12643"/>
          </w:tcPr>
          <w:p>
            <w:r/>
            <w:r>
              <w:rPr>
                <w:b w:val="0"/>
                <w:sz w:val="18"/>
              </w:rPr>
              <w:t>Treat any wording, brochure or product summary statement that is likely to mislead (e.g., benefit described as 'as-charged' or 'full cover' when deductibles/co-insurance/pro-ration or sub-limits apply) as a FAIL. Record the exact misleading phrase.</w:t>
            </w:r>
          </w:p>
        </w:tc>
      </w:tr>
      <w:tr>
        <w:tc>
          <w:tcPr>
            <w:tcW w:type="dxa" w:w="2381"/>
          </w:tcPr>
          <w:p>
            <w:r/>
            <w:r>
              <w:rPr>
                <w:b/>
                <w:sz w:val="17"/>
              </w:rPr>
              <w:t>Source</w:t>
            </w:r>
          </w:p>
        </w:tc>
        <w:tc>
          <w:tcPr>
            <w:tcW w:type="dxa" w:w="12643"/>
          </w:tcPr>
          <w:p>
            <w:r/>
            <w:r>
              <w:rPr>
                <w:b w:val="0"/>
                <w:sz w:val="18"/>
              </w:rPr>
              <w:t>Insurance Act 1966 (2020 Revised Edition) — Parliament of Singapore / AGC (SSO); administered by MAS — Insurance Act 1966 — Current version as at 18 Oct 2026 (last amended by Act 5 of 2025, 9 Mar 2025)</w:t>
            </w:r>
          </w:p>
        </w:tc>
      </w:tr>
      <w:tr>
        <w:tc>
          <w:tcPr>
            <w:tcW w:type="dxa" w:w="2381"/>
          </w:tcPr>
          <w:p>
            <w:r/>
            <w:r>
              <w:rPr>
                <w:b/>
                <w:sz w:val="17"/>
              </w:rPr>
              <w:t>Clause / section</w:t>
            </w:r>
          </w:p>
        </w:tc>
        <w:tc>
          <w:tcPr>
            <w:tcW w:type="dxa" w:w="12643"/>
          </w:tcPr>
          <w:p>
            <w:r/>
            <w:r>
              <w:rPr>
                <w:b w:val="0"/>
                <w:sz w:val="18"/>
              </w:rPr>
              <w:t>s 23(1) and 23(4)</w:t>
            </w:r>
          </w:p>
        </w:tc>
      </w:tr>
      <w:tr>
        <w:tc>
          <w:tcPr>
            <w:tcW w:type="dxa" w:w="2381"/>
          </w:tcPr>
          <w:p>
            <w:r/>
            <w:r>
              <w:rPr>
                <w:b/>
                <w:sz w:val="17"/>
              </w:rPr>
              <w:t>URL</w:t>
            </w:r>
          </w:p>
        </w:tc>
        <w:tc>
          <w:tcPr>
            <w:tcW w:type="dxa" w:w="12643"/>
          </w:tcPr>
          <w:p>
            <w:r/>
            <w:r>
              <w:rPr>
                <w:b w:val="0"/>
                <w:sz w:val="18"/>
              </w:rPr>
              <w:t>https://sso.agc.gov.sg/Act/IA1966</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SG-GOV-02</w:t>
            </w:r>
          </w:p>
        </w:tc>
        <w:tc>
          <w:tcPr>
            <w:tcW w:type="dxa" w:w="12643"/>
            <w:shd w:val="clear" w:color="auto" w:fill="D9E2F3"/>
          </w:tcPr>
          <w:p>
            <w:r/>
            <w:r>
              <w:rPr>
                <w:b/>
                <w:sz w:val="18"/>
              </w:rPr>
              <w:t>IP / MediSave-approved plans</w:t>
            </w:r>
          </w:p>
        </w:tc>
      </w:tr>
      <w:tr>
        <w:tc>
          <w:tcPr>
            <w:tcW w:type="dxa" w:w="2381"/>
          </w:tcPr>
          <w:p>
            <w:r/>
            <w:r>
              <w:rPr>
                <w:b/>
                <w:sz w:val="17"/>
              </w:rPr>
              <w:t>Rule</w:t>
            </w:r>
          </w:p>
        </w:tc>
        <w:tc>
          <w:tcPr>
            <w:tcW w:type="dxa" w:w="12643"/>
          </w:tcPr>
          <w:p>
            <w:r/>
            <w:r>
              <w:rPr>
                <w:b w:val="0"/>
                <w:sz w:val="18"/>
              </w:rPr>
              <w:t>An Integrated Shield Plan is a 'medisave-approved plan' (a medical insurance plan under a policy approved by the Minister for Health) comprising a MediShield Life Component plus additional private insurance coverage. A non-integrated shield plan has no MediShield Life Component.</w:t>
            </w:r>
          </w:p>
        </w:tc>
      </w:tr>
      <w:tr>
        <w:tc>
          <w:tcPr>
            <w:tcW w:type="dxa" w:w="2381"/>
          </w:tcPr>
          <w:p>
            <w:r/>
            <w:r>
              <w:rPr>
                <w:b/>
                <w:sz w:val="17"/>
              </w:rPr>
              <w:t>Wording test</w:t>
            </w:r>
          </w:p>
        </w:tc>
        <w:tc>
          <w:tcPr>
            <w:tcW w:type="dxa" w:w="12643"/>
          </w:tcPr>
          <w:p>
            <w:r/>
            <w:r>
              <w:rPr>
                <w:b w:val="0"/>
                <w:sz w:val="18"/>
              </w:rPr>
              <w:t>Check the policy identifies itself as an Integrated Shield Plan and clearly separates (i) the MediShield Life Component and (ii) the additional private insurance coverage, and that riders are described as separate from the IP.</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2(1) definitions ('integrated shield plan', 'medisave-approved plan', 'MediShield Life Component', 'non-integrated shield plan')</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SG-GOV-03</w:t>
            </w:r>
          </w:p>
        </w:tc>
        <w:tc>
          <w:tcPr>
            <w:tcW w:type="dxa" w:w="12643"/>
            <w:shd w:val="clear" w:color="auto" w:fill="D9E2F3"/>
          </w:tcPr>
          <w:p>
            <w:r/>
            <w:r>
              <w:rPr>
                <w:b/>
                <w:sz w:val="18"/>
              </w:rPr>
              <w:t>MediShield Life / IP</w:t>
            </w:r>
          </w:p>
        </w:tc>
      </w:tr>
      <w:tr>
        <w:tc>
          <w:tcPr>
            <w:tcW w:type="dxa" w:w="2381"/>
          </w:tcPr>
          <w:p>
            <w:r/>
            <w:r>
              <w:rPr>
                <w:b/>
                <w:sz w:val="17"/>
              </w:rPr>
              <w:t>Rule</w:t>
            </w:r>
          </w:p>
        </w:tc>
        <w:tc>
          <w:tcPr>
            <w:tcW w:type="dxa" w:w="12643"/>
          </w:tcPr>
          <w:p>
            <w:r/>
            <w:r>
              <w:rPr>
                <w:b w:val="0"/>
                <w:sz w:val="18"/>
              </w:rPr>
              <w:t>MediShield Life applies to every Singapore citizen and permanent resident and is administered by the CPF Board. For IPs, the private insurer is the single point of contact and acts on CPF Board's behalf for premium collection and claims disbursement of the MediShield Life component.</w:t>
            </w:r>
          </w:p>
        </w:tc>
      </w:tr>
      <w:tr>
        <w:tc>
          <w:tcPr>
            <w:tcW w:type="dxa" w:w="2381"/>
          </w:tcPr>
          <w:p>
            <w:r/>
            <w:r>
              <w:rPr>
                <w:b/>
                <w:sz w:val="17"/>
              </w:rPr>
              <w:t>Wording test</w:t>
            </w:r>
          </w:p>
        </w:tc>
        <w:tc>
          <w:tcPr>
            <w:tcW w:type="dxa" w:w="12643"/>
          </w:tcPr>
          <w:p>
            <w:r/>
            <w:r>
              <w:rPr>
                <w:b w:val="0"/>
                <w:sz w:val="18"/>
              </w:rPr>
              <w:t>Check the IP wording states that the MediShield Life Component is provided by the national scheme (CPF Board) and that the insurer administers premiums/claims for it; FAIL if wording implies the insurer can alter MediShield Life benefits.</w:t>
            </w:r>
          </w:p>
        </w:tc>
      </w:tr>
      <w:tr>
        <w:tc>
          <w:tcPr>
            <w:tcW w:type="dxa" w:w="2381"/>
          </w:tcPr>
          <w:p>
            <w:r/>
            <w:r>
              <w:rPr>
                <w:b/>
                <w:sz w:val="17"/>
              </w:rPr>
              <w:t>Source</w:t>
            </w:r>
          </w:p>
        </w:tc>
        <w:tc>
          <w:tcPr>
            <w:tcW w:type="dxa" w:w="12643"/>
          </w:tcPr>
          <w:p>
            <w:r/>
            <w:r>
              <w:rPr>
                <w:b w:val="0"/>
                <w:sz w:val="18"/>
              </w:rPr>
              <w:t>MediShield Life Scheme Act 2015 — Parliament of Singapore / AGC (SSO); administered by MOH/CPF Board — Act 4 of 2015 — Current version as at 18 Oct 2026 (last amended by Act 40 of 2024 wef 1 Apr 2025)</w:t>
            </w:r>
          </w:p>
        </w:tc>
      </w:tr>
      <w:tr>
        <w:tc>
          <w:tcPr>
            <w:tcW w:type="dxa" w:w="2381"/>
          </w:tcPr>
          <w:p>
            <w:r/>
            <w:r>
              <w:rPr>
                <w:b/>
                <w:sz w:val="17"/>
              </w:rPr>
              <w:t>Clause / section</w:t>
            </w:r>
          </w:p>
        </w:tc>
        <w:tc>
          <w:tcPr>
            <w:tcW w:type="dxa" w:w="12643"/>
          </w:tcPr>
          <w:p>
            <w:r/>
            <w:r>
              <w:rPr>
                <w:b w:val="0"/>
                <w:sz w:val="18"/>
              </w:rPr>
              <w:t>s 3(2) and 3(3); see also MOH 'About Integrated Shield Plan' page</w:t>
            </w:r>
          </w:p>
        </w:tc>
      </w:tr>
      <w:tr>
        <w:tc>
          <w:tcPr>
            <w:tcW w:type="dxa" w:w="2381"/>
          </w:tcPr>
          <w:p>
            <w:r/>
            <w:r>
              <w:rPr>
                <w:b/>
                <w:sz w:val="17"/>
              </w:rPr>
              <w:t>URL</w:t>
            </w:r>
          </w:p>
        </w:tc>
        <w:tc>
          <w:tcPr>
            <w:tcW w:type="dxa" w:w="12643"/>
          </w:tcPr>
          <w:p>
            <w:r/>
            <w:r>
              <w:rPr>
                <w:b w:val="0"/>
                <w:sz w:val="18"/>
              </w:rPr>
              <w:t>https://sso.agc.gov.sg/Act/MLSA2015</w:t>
            </w:r>
          </w:p>
        </w:tc>
      </w:tr>
      <w:tr>
        <w:tc>
          <w:tcPr>
            <w:tcW w:type="dxa" w:w="2381"/>
          </w:tcPr>
          <w:p>
            <w:r/>
            <w:r>
              <w:rPr>
                <w:b/>
                <w:sz w:val="17"/>
              </w:rPr>
              <w:t>Verification</w:t>
            </w:r>
          </w:p>
        </w:tc>
        <w:tc>
          <w:tcPr>
            <w:tcW w:type="dxa" w:w="12643"/>
          </w:tcPr>
          <w:p>
            <w:r/>
            <w:r>
              <w:rPr>
                <w:b w:val="0"/>
                <w:sz w:val="18"/>
              </w:rPr>
              <w:t>Verified – primary text read — Second limb (insurer acts on CPF Board's behalf) is from the MOH web page 'About Integrated Shield Plan' (last updated 30 Apr 2026).</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SG-GOV-04</w:t>
            </w:r>
          </w:p>
        </w:tc>
        <w:tc>
          <w:tcPr>
            <w:tcW w:type="dxa" w:w="12643"/>
            <w:shd w:val="clear" w:color="auto" w:fill="D9E2F3"/>
          </w:tcPr>
          <w:p>
            <w:r/>
            <w:r>
              <w:rPr>
                <w:b/>
                <w:sz w:val="18"/>
              </w:rPr>
              <w:t>All direct insurers serving individuals</w:t>
            </w:r>
          </w:p>
        </w:tc>
      </w:tr>
      <w:tr>
        <w:tc>
          <w:tcPr>
            <w:tcW w:type="dxa" w:w="2381"/>
          </w:tcPr>
          <w:p>
            <w:r/>
            <w:r>
              <w:rPr>
                <w:b/>
                <w:sz w:val="17"/>
              </w:rPr>
              <w:t>Rule</w:t>
            </w:r>
          </w:p>
        </w:tc>
        <w:tc>
          <w:tcPr>
            <w:tcW w:type="dxa" w:w="12643"/>
          </w:tcPr>
          <w:p>
            <w:r/>
            <w:r>
              <w:rPr>
                <w:b w:val="0"/>
                <w:sz w:val="18"/>
              </w:rPr>
              <w:t>Every direct insurer registered under the Insurance Act (other than specialist insurers and insurers serving only non-individuals) and every direct insurance broker must be a member of an approved dispute resolution scheme; the only approved scheme is the one operated by FIDReC.</w:t>
            </w:r>
          </w:p>
        </w:tc>
      </w:tr>
      <w:tr>
        <w:tc>
          <w:tcPr>
            <w:tcW w:type="dxa" w:w="2381"/>
          </w:tcPr>
          <w:p>
            <w:r/>
            <w:r>
              <w:rPr>
                <w:b/>
                <w:sz w:val="17"/>
              </w:rPr>
              <w:t>Wording test</w:t>
            </w:r>
          </w:p>
        </w:tc>
        <w:tc>
          <w:tcPr>
            <w:tcW w:type="dxa" w:w="12643"/>
          </w:tcPr>
          <w:p>
            <w:r/>
            <w:r>
              <w:rPr>
                <w:b w:val="0"/>
                <w:sz w:val="18"/>
              </w:rPr>
              <w:t>Check the wording's complaints/disputes clause names FIDReC (or the approved dispute resolution scheme) as external recourse after the insurer's internal process. Flag absence as a disclosure gap (not a statutory breach of the wording itself).</w:t>
            </w:r>
          </w:p>
        </w:tc>
      </w:tr>
      <w:tr>
        <w:tc>
          <w:tcPr>
            <w:tcW w:type="dxa" w:w="2381"/>
          </w:tcPr>
          <w:p>
            <w:r/>
            <w:r>
              <w:rPr>
                <w:b/>
                <w:sz w:val="17"/>
              </w:rPr>
              <w:t>Source</w:t>
            </w:r>
          </w:p>
        </w:tc>
        <w:tc>
          <w:tcPr>
            <w:tcW w:type="dxa" w:w="12643"/>
          </w:tcPr>
          <w:p>
            <w:r/>
            <w:r>
              <w:rPr>
                <w:b w:val="0"/>
                <w:sz w:val="18"/>
              </w:rPr>
              <w:t>Financial Services and Markets (Dispute Resolution Schemes) Regulations 2023 — MAS (subsidiary legislation under FSMA 2022) — S 232/2023 — 28 Apr 2023</w:t>
            </w:r>
          </w:p>
        </w:tc>
      </w:tr>
      <w:tr>
        <w:tc>
          <w:tcPr>
            <w:tcW w:type="dxa" w:w="2381"/>
          </w:tcPr>
          <w:p>
            <w:r/>
            <w:r>
              <w:rPr>
                <w:b/>
                <w:sz w:val="17"/>
              </w:rPr>
              <w:t>Clause / section</w:t>
            </w:r>
          </w:p>
        </w:tc>
        <w:tc>
          <w:tcPr>
            <w:tcW w:type="dxa" w:w="12643"/>
          </w:tcPr>
          <w:p>
            <w:r/>
            <w:r>
              <w:rPr>
                <w:b w:val="0"/>
                <w:sz w:val="18"/>
              </w:rPr>
              <w:t>reg 4(1)-(2); First Schedule para 1; Second Schedule Part 1 items 4-5</w:t>
            </w:r>
          </w:p>
        </w:tc>
      </w:tr>
      <w:tr>
        <w:tc>
          <w:tcPr>
            <w:tcW w:type="dxa" w:w="2381"/>
          </w:tcPr>
          <w:p>
            <w:r/>
            <w:r>
              <w:rPr>
                <w:b/>
                <w:sz w:val="17"/>
              </w:rPr>
              <w:t>URL</w:t>
            </w:r>
          </w:p>
        </w:tc>
        <w:tc>
          <w:tcPr>
            <w:tcW w:type="dxa" w:w="12643"/>
          </w:tcPr>
          <w:p>
            <w:r/>
            <w:r>
              <w:rPr>
                <w:b w:val="0"/>
                <w:sz w:val="18"/>
              </w:rPr>
              <w:t>https://sso.agc.gov.sg/SL/FSMA2022-S232-2023</w:t>
            </w:r>
          </w:p>
        </w:tc>
      </w:tr>
      <w:tr>
        <w:tc>
          <w:tcPr>
            <w:tcW w:type="dxa" w:w="2381"/>
          </w:tcPr>
          <w:p>
            <w:r/>
            <w:r>
              <w:rPr>
                <w:b/>
                <w:sz w:val="17"/>
              </w:rPr>
              <w:t>Verification</w:t>
            </w:r>
          </w:p>
        </w:tc>
        <w:tc>
          <w:tcPr>
            <w:tcW w:type="dxa" w:w="12643"/>
          </w:tcPr>
          <w:p>
            <w:r/>
            <w:r>
              <w:rPr>
                <w:b w:val="0"/>
                <w:sz w:val="18"/>
              </w:rPr>
              <w:t>Verified – primary text read — The requirement to name FIDReC inside the policy wording itself is not stated in the Regulations; the check is a best-practice disclosure test.</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SG-GOV-05</w:t>
            </w:r>
          </w:p>
        </w:tc>
        <w:tc>
          <w:tcPr>
            <w:tcW w:type="dxa" w:w="12643"/>
            <w:shd w:val="clear" w:color="auto" w:fill="D9E2F3"/>
          </w:tcPr>
          <w:p>
            <w:r/>
            <w:r>
              <w:rPr>
                <w:b/>
                <w:sz w:val="18"/>
              </w:rPr>
              <w:t>All A&amp;H policies (life and general insurers)</w:t>
            </w:r>
          </w:p>
        </w:tc>
      </w:tr>
      <w:tr>
        <w:tc>
          <w:tcPr>
            <w:tcW w:type="dxa" w:w="2381"/>
          </w:tcPr>
          <w:p>
            <w:r/>
            <w:r>
              <w:rPr>
                <w:b/>
                <w:sz w:val="17"/>
              </w:rPr>
              <w:t>Rule</w:t>
            </w:r>
          </w:p>
        </w:tc>
        <w:tc>
          <w:tcPr>
            <w:tcW w:type="dxa" w:w="12643"/>
          </w:tcPr>
          <w:p>
            <w:r/>
            <w:r>
              <w:rPr>
                <w:b w:val="0"/>
                <w:sz w:val="18"/>
              </w:rPr>
              <w:t>Under the SDIC Policy Owners' Protection (PPF) Scheme, compensation for guaranteed benefits under individual or group A&amp;H policies (and riders) is not capped, except riders that accelerate part of the main policy's sum assured, which take the main policy's caps (e.g., S$500,000 aggregated guaranteed sum assured per life per insurer for individual life policies).</w:t>
            </w:r>
          </w:p>
        </w:tc>
      </w:tr>
      <w:tr>
        <w:tc>
          <w:tcPr>
            <w:tcW w:type="dxa" w:w="2381"/>
          </w:tcPr>
          <w:p>
            <w:r/>
            <w:r>
              <w:rPr>
                <w:b/>
                <w:sz w:val="17"/>
              </w:rPr>
              <w:t>Wording test</w:t>
            </w:r>
          </w:p>
        </w:tc>
        <w:tc>
          <w:tcPr>
            <w:tcW w:type="dxa" w:w="12643"/>
          </w:tcPr>
          <w:p>
            <w:r/>
            <w:r>
              <w:rPr>
                <w:b w:val="0"/>
                <w:sz w:val="18"/>
              </w:rPr>
              <w:t>Check whether any CI/accelerated rider is described as 'fully protected'; it is capped with the main life policy. If the wording or product summary carries a PPF statement, check it does not overstate protection.</w:t>
            </w:r>
          </w:p>
        </w:tc>
      </w:tr>
      <w:tr>
        <w:tc>
          <w:tcPr>
            <w:tcW w:type="dxa" w:w="2381"/>
          </w:tcPr>
          <w:p>
            <w:r/>
            <w:r>
              <w:rPr>
                <w:b/>
                <w:sz w:val="17"/>
              </w:rPr>
              <w:t>Source</w:t>
            </w:r>
          </w:p>
        </w:tc>
        <w:tc>
          <w:tcPr>
            <w:tcW w:type="dxa" w:w="12643"/>
          </w:tcPr>
          <w:p>
            <w:r/>
            <w:r>
              <w:rPr>
                <w:b w:val="0"/>
                <w:sz w:val="18"/>
              </w:rPr>
              <w:t>Policy Owners' Protection Scheme – PPF Entitlement — SDIC — (web page) — Accessed 18 Oct 2026 (page undated)</w:t>
            </w:r>
          </w:p>
        </w:tc>
      </w:tr>
      <w:tr>
        <w:tc>
          <w:tcPr>
            <w:tcW w:type="dxa" w:w="2381"/>
          </w:tcPr>
          <w:p>
            <w:r/>
            <w:r>
              <w:rPr>
                <w:b/>
                <w:sz w:val="17"/>
              </w:rPr>
              <w:t>Clause / section</w:t>
            </w:r>
          </w:p>
        </w:tc>
        <w:tc>
          <w:tcPr>
            <w:tcW w:type="dxa" w:w="12643"/>
          </w:tcPr>
          <w:p>
            <w:r/>
            <w:r>
              <w:rPr>
                <w:b w:val="0"/>
                <w:sz w:val="18"/>
              </w:rPr>
              <w:t>PPF Entitlement page – 'Compensation' (life insurer) section</w:t>
            </w:r>
          </w:p>
        </w:tc>
      </w:tr>
      <w:tr>
        <w:tc>
          <w:tcPr>
            <w:tcW w:type="dxa" w:w="2381"/>
          </w:tcPr>
          <w:p>
            <w:r/>
            <w:r>
              <w:rPr>
                <w:b/>
                <w:sz w:val="17"/>
              </w:rPr>
              <w:t>URL</w:t>
            </w:r>
          </w:p>
        </w:tc>
        <w:tc>
          <w:tcPr>
            <w:tcW w:type="dxa" w:w="12643"/>
          </w:tcPr>
          <w:p>
            <w:r/>
            <w:r>
              <w:rPr>
                <w:b w:val="0"/>
                <w:sz w:val="18"/>
              </w:rPr>
              <w:t>https://sdic.org.sg/pp_entitlement/</w:t>
            </w:r>
          </w:p>
        </w:tc>
      </w:tr>
      <w:tr>
        <w:tc>
          <w:tcPr>
            <w:tcW w:type="dxa" w:w="2381"/>
          </w:tcPr>
          <w:p>
            <w:r/>
            <w:r>
              <w:rPr>
                <w:b/>
                <w:sz w:val="17"/>
              </w:rPr>
              <w:t>Verification</w:t>
            </w:r>
          </w:p>
        </w:tc>
        <w:tc>
          <w:tcPr>
            <w:tcW w:type="dxa" w:w="12643"/>
          </w:tcPr>
          <w:p>
            <w:r/>
            <w:r>
              <w:rPr>
                <w:b w:val="0"/>
                <w:sz w:val="18"/>
              </w:rPr>
              <w:t>Verified – official MOH/CPF/SDIC web page or press release read — Statutory basis is the Deposit Insurance and Policy Owners' Protection Schemes Act 2011 (Act 15 of 2011, verified on SSO); caps were read from the SDIC page, not from the Act's Schedules. Any mandatory PPF disclosure wording in policy documents was NOT verified.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SG-GOV-06</w:t>
            </w:r>
          </w:p>
        </w:tc>
        <w:tc>
          <w:tcPr>
            <w:tcW w:type="dxa" w:w="12643"/>
            <w:shd w:val="clear" w:color="auto" w:fill="D9E2F3"/>
          </w:tcPr>
          <w:p>
            <w:r/>
            <w:r>
              <w:rPr>
                <w:b/>
                <w:sz w:val="18"/>
              </w:rPr>
              <w:t>Product summaries / benefit illustrations</w:t>
            </w:r>
          </w:p>
        </w:tc>
      </w:tr>
      <w:tr>
        <w:tc>
          <w:tcPr>
            <w:tcW w:type="dxa" w:w="2381"/>
          </w:tcPr>
          <w:p>
            <w:r/>
            <w:r>
              <w:rPr>
                <w:b/>
                <w:sz w:val="17"/>
              </w:rPr>
              <w:t>Rule</w:t>
            </w:r>
          </w:p>
        </w:tc>
        <w:tc>
          <w:tcPr>
            <w:tcW w:type="dxa" w:w="12643"/>
          </w:tcPr>
          <w:p>
            <w:r/>
            <w:r>
              <w:rPr>
                <w:b w:val="0"/>
                <w:sz w:val="18"/>
              </w:rPr>
              <w:t>Where an insurer or intermediary prepares a benefit illustration or product summary for an A&amp;H policy, it must be prepared according to industry standards (i.e., LIA/GIA guidelines) where they exist.</w:t>
            </w:r>
          </w:p>
        </w:tc>
      </w:tr>
      <w:tr>
        <w:tc>
          <w:tcPr>
            <w:tcW w:type="dxa" w:w="2381"/>
          </w:tcPr>
          <w:p>
            <w:r/>
            <w:r>
              <w:rPr>
                <w:b/>
                <w:sz w:val="17"/>
              </w:rPr>
              <w:t>Wording test</w:t>
            </w:r>
          </w:p>
        </w:tc>
        <w:tc>
          <w:tcPr>
            <w:tcW w:type="dxa" w:w="12643"/>
          </w:tcPr>
          <w:p>
            <w:r/>
            <w:r>
              <w:rPr>
                <w:b w:val="0"/>
                <w:sz w:val="18"/>
              </w:rPr>
              <w:t>Benchmark the product summary against the LIA &amp; GIA A&amp;H Disclosure Guidelines (Nov 2025) – see SG-LG rules. Missing mandatory items = FAIL.</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paras 19 and 28</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p>
      <w:pPr>
        <w:pStyle w:val="Heading2"/>
      </w:pPr>
      <w:r>
        <w:t>2. Statutory rules – Insurance Act &amp; regulations</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SG-IA-01</w:t>
            </w:r>
          </w:p>
        </w:tc>
        <w:tc>
          <w:tcPr>
            <w:tcW w:type="dxa" w:w="12643"/>
            <w:shd w:val="clear" w:color="auto" w:fill="D9E2F3"/>
          </w:tcPr>
          <w:p>
            <w:r/>
            <w:r>
              <w:rPr>
                <w:b/>
                <w:sz w:val="18"/>
              </w:rPr>
              <w:t>All proposal forms</w:t>
            </w:r>
          </w:p>
        </w:tc>
      </w:tr>
      <w:tr>
        <w:tc>
          <w:tcPr>
            <w:tcW w:type="dxa" w:w="2381"/>
          </w:tcPr>
          <w:p>
            <w:r/>
            <w:r>
              <w:rPr>
                <w:b/>
                <w:sz w:val="17"/>
              </w:rPr>
              <w:t>Rule</w:t>
            </w:r>
          </w:p>
        </w:tc>
        <w:tc>
          <w:tcPr>
            <w:tcW w:type="dxa" w:w="12643"/>
          </w:tcPr>
          <w:p>
            <w:r/>
            <w:r>
              <w:rPr>
                <w:b w:val="0"/>
                <w:sz w:val="18"/>
              </w:rPr>
              <w:t>A Singapore insurer must not use a proposal form unless it prominently displays a warning that if the proposer does not fully and faithfully give the facts as the proposer knows them or ought to know them, the proposer may receive nothing from the policy. Offence: fine up to $25,000 per occasion.</w:t>
            </w:r>
          </w:p>
        </w:tc>
      </w:tr>
      <w:tr>
        <w:tc>
          <w:tcPr>
            <w:tcW w:type="dxa" w:w="2381"/>
          </w:tcPr>
          <w:p>
            <w:r/>
            <w:r>
              <w:rPr>
                <w:b/>
                <w:sz w:val="17"/>
              </w:rPr>
              <w:t>Wording test</w:t>
            </w:r>
          </w:p>
        </w:tc>
        <w:tc>
          <w:tcPr>
            <w:tcW w:type="dxa" w:w="12643"/>
          </w:tcPr>
          <w:p>
            <w:r/>
            <w:r>
              <w:rPr>
                <w:b w:val="0"/>
                <w:sz w:val="18"/>
              </w:rPr>
              <w:t>Locate the warning in the proposal/application form. PASS only if it is prominent (not buried in small print) and substantively conveys 'fully and faithfully give the facts as you know them or ought to know them' + 'may receive nothing'.</w:t>
            </w:r>
          </w:p>
        </w:tc>
      </w:tr>
      <w:tr>
        <w:tc>
          <w:tcPr>
            <w:tcW w:type="dxa" w:w="2381"/>
          </w:tcPr>
          <w:p>
            <w:r/>
            <w:r>
              <w:rPr>
                <w:b/>
                <w:sz w:val="17"/>
              </w:rPr>
              <w:t>Source</w:t>
            </w:r>
          </w:p>
        </w:tc>
        <w:tc>
          <w:tcPr>
            <w:tcW w:type="dxa" w:w="12643"/>
          </w:tcPr>
          <w:p>
            <w:r/>
            <w:r>
              <w:rPr>
                <w:b w:val="0"/>
                <w:sz w:val="18"/>
              </w:rPr>
              <w:t>Insurance Act 1966 (2020 Revised Edition) — Parliament of Singapore / AGC (SSO); administered by MAS — Insurance Act 1966 — Current version as at 18 Oct 2026 (last amended by Act 5 of 2025, 9 Mar 2025)</w:t>
            </w:r>
          </w:p>
        </w:tc>
      </w:tr>
      <w:tr>
        <w:tc>
          <w:tcPr>
            <w:tcW w:type="dxa" w:w="2381"/>
          </w:tcPr>
          <w:p>
            <w:r/>
            <w:r>
              <w:rPr>
                <w:b/>
                <w:sz w:val="17"/>
              </w:rPr>
              <w:t>Clause / section</w:t>
            </w:r>
          </w:p>
        </w:tc>
        <w:tc>
          <w:tcPr>
            <w:tcW w:type="dxa" w:w="12643"/>
          </w:tcPr>
          <w:p>
            <w:r/>
            <w:r>
              <w:rPr>
                <w:b w:val="0"/>
                <w:sz w:val="18"/>
              </w:rPr>
              <w:t>s 23(5) and 23(6)</w:t>
            </w:r>
          </w:p>
        </w:tc>
      </w:tr>
      <w:tr>
        <w:tc>
          <w:tcPr>
            <w:tcW w:type="dxa" w:w="2381"/>
          </w:tcPr>
          <w:p>
            <w:r/>
            <w:r>
              <w:rPr>
                <w:b/>
                <w:sz w:val="17"/>
              </w:rPr>
              <w:t>URL</w:t>
            </w:r>
          </w:p>
        </w:tc>
        <w:tc>
          <w:tcPr>
            <w:tcW w:type="dxa" w:w="12643"/>
          </w:tcPr>
          <w:p>
            <w:r/>
            <w:r>
              <w:rPr>
                <w:b w:val="0"/>
                <w:sz w:val="18"/>
              </w:rPr>
              <w:t>https://sso.agc.gov.sg/Act/IA1966</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SG-IA-02</w:t>
            </w:r>
          </w:p>
        </w:tc>
        <w:tc>
          <w:tcPr>
            <w:tcW w:type="dxa" w:w="12643"/>
            <w:shd w:val="clear" w:color="auto" w:fill="D9E2F3"/>
          </w:tcPr>
          <w:p>
            <w:r/>
            <w:r>
              <w:rPr>
                <w:b/>
                <w:sz w:val="18"/>
              </w:rPr>
              <w:t>Insurance intermediaries (incl. insurer selling direct)</w:t>
            </w:r>
          </w:p>
        </w:tc>
      </w:tr>
      <w:tr>
        <w:tc>
          <w:tcPr>
            <w:tcW w:type="dxa" w:w="2381"/>
          </w:tcPr>
          <w:p>
            <w:r/>
            <w:r>
              <w:rPr>
                <w:b/>
                <w:sz w:val="17"/>
              </w:rPr>
              <w:t>Rule</w:t>
            </w:r>
          </w:p>
        </w:tc>
        <w:tc>
          <w:tcPr>
            <w:tcW w:type="dxa" w:w="12643"/>
          </w:tcPr>
          <w:p>
            <w:r/>
            <w:r>
              <w:rPr>
                <w:b w:val="0"/>
                <w:sz w:val="18"/>
              </w:rPr>
              <w:t>An insurance intermediary must not invite a proposal without disclosing all material information, including the insurer's name, the intermediary's relationship with the insurer and the premium. For contributory group policies, the conditions of the group policy must also be disclosed to every insured.</w:t>
            </w:r>
          </w:p>
        </w:tc>
      </w:tr>
      <w:tr>
        <w:tc>
          <w:tcPr>
            <w:tcW w:type="dxa" w:w="2381"/>
          </w:tcPr>
          <w:p>
            <w:r/>
            <w:r>
              <w:rPr>
                <w:b/>
                <w:sz w:val="17"/>
              </w:rPr>
              <w:t>Wording test</w:t>
            </w:r>
          </w:p>
        </w:tc>
        <w:tc>
          <w:tcPr>
            <w:tcW w:type="dxa" w:w="12643"/>
          </w:tcPr>
          <w:p>
            <w:r/>
            <w:r>
              <w:rPr>
                <w:b w:val="0"/>
                <w:sz w:val="18"/>
              </w:rPr>
              <w:t>For direct-to-consumer wordings/sales pages: check insurer name, premium and (for group voluntary plans) group policy conditions are disclosed to each member before enrolment.</w:t>
            </w:r>
          </w:p>
        </w:tc>
      </w:tr>
      <w:tr>
        <w:tc>
          <w:tcPr>
            <w:tcW w:type="dxa" w:w="2381"/>
          </w:tcPr>
          <w:p>
            <w:r/>
            <w:r>
              <w:rPr>
                <w:b/>
                <w:sz w:val="17"/>
              </w:rPr>
              <w:t>Source</w:t>
            </w:r>
          </w:p>
        </w:tc>
        <w:tc>
          <w:tcPr>
            <w:tcW w:type="dxa" w:w="12643"/>
          </w:tcPr>
          <w:p>
            <w:r/>
            <w:r>
              <w:rPr>
                <w:b w:val="0"/>
                <w:sz w:val="18"/>
              </w:rPr>
              <w:t>Insurance Act 1966 (2020 Revised Edition) — Parliament of Singapore / AGC (SSO); administered by MAS — Insurance Act 1966 — Current version as at 18 Oct 2026 (last amended by Act 5 of 2025, 9 Mar 2025)</w:t>
            </w:r>
          </w:p>
        </w:tc>
      </w:tr>
      <w:tr>
        <w:tc>
          <w:tcPr>
            <w:tcW w:type="dxa" w:w="2381"/>
          </w:tcPr>
          <w:p>
            <w:r/>
            <w:r>
              <w:rPr>
                <w:b/>
                <w:sz w:val="17"/>
              </w:rPr>
              <w:t>Clause / section</w:t>
            </w:r>
          </w:p>
        </w:tc>
        <w:tc>
          <w:tcPr>
            <w:tcW w:type="dxa" w:w="12643"/>
          </w:tcPr>
          <w:p>
            <w:r/>
            <w:r>
              <w:rPr>
                <w:b w:val="0"/>
                <w:sz w:val="18"/>
              </w:rPr>
              <w:t>s 67(1)-(3)</w:t>
            </w:r>
          </w:p>
        </w:tc>
      </w:tr>
      <w:tr>
        <w:tc>
          <w:tcPr>
            <w:tcW w:type="dxa" w:w="2381"/>
          </w:tcPr>
          <w:p>
            <w:r/>
            <w:r>
              <w:rPr>
                <w:b/>
                <w:sz w:val="17"/>
              </w:rPr>
              <w:t>URL</w:t>
            </w:r>
          </w:p>
        </w:tc>
        <w:tc>
          <w:tcPr>
            <w:tcW w:type="dxa" w:w="12643"/>
          </w:tcPr>
          <w:p>
            <w:r/>
            <w:r>
              <w:rPr>
                <w:b w:val="0"/>
                <w:sz w:val="18"/>
              </w:rPr>
              <w:t>https://sso.agc.gov.sg/Act/IA1966</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SG-IA-03</w:t>
            </w:r>
          </w:p>
        </w:tc>
        <w:tc>
          <w:tcPr>
            <w:tcW w:type="dxa" w:w="12643"/>
            <w:shd w:val="clear" w:color="auto" w:fill="D9E2F3"/>
          </w:tcPr>
          <w:p>
            <w:r/>
            <w:r>
              <w:rPr>
                <w:b/>
                <w:sz w:val="18"/>
              </w:rPr>
              <w:t>Long-term A&amp;H policies (life insurers)</w:t>
            </w:r>
          </w:p>
        </w:tc>
      </w:tr>
      <w:tr>
        <w:tc>
          <w:tcPr>
            <w:tcW w:type="dxa" w:w="2381"/>
          </w:tcPr>
          <w:p>
            <w:r/>
            <w:r>
              <w:rPr>
                <w:b/>
                <w:sz w:val="17"/>
              </w:rPr>
              <w:t>Rule</w:t>
            </w:r>
          </w:p>
        </w:tc>
        <w:tc>
          <w:tcPr>
            <w:tcW w:type="dxa" w:w="12643"/>
          </w:tcPr>
          <w:p>
            <w:r/>
            <w:r>
              <w:rPr>
                <w:b w:val="0"/>
                <w:sz w:val="18"/>
              </w:rPr>
              <w:t>A life insurer must not issue a long-term A&amp;H policy unless the premium is per rates fixed or approved by its appointed actuary.</w:t>
            </w:r>
          </w:p>
        </w:tc>
      </w:tr>
      <w:tr>
        <w:tc>
          <w:tcPr>
            <w:tcW w:type="dxa" w:w="2381"/>
          </w:tcPr>
          <w:p>
            <w:r/>
            <w:r>
              <w:rPr>
                <w:b/>
                <w:sz w:val="17"/>
              </w:rPr>
              <w:t>Wording test</w:t>
            </w:r>
          </w:p>
        </w:tc>
        <w:tc>
          <w:tcPr>
            <w:tcW w:type="dxa" w:w="12643"/>
          </w:tcPr>
          <w:p>
            <w:r/>
            <w:r>
              <w:rPr>
                <w:b w:val="0"/>
                <w:sz w:val="18"/>
              </w:rPr>
              <w:t>Process check, not a wording test: confirm premium-revision clause refers to revisions approved/permitted under insurer's actuarial process; flag clauses allowing unrestricted ad-hoc premium changes for individual insureds (other than loading at underwriting).</w:t>
            </w:r>
          </w:p>
        </w:tc>
      </w:tr>
      <w:tr>
        <w:tc>
          <w:tcPr>
            <w:tcW w:type="dxa" w:w="2381"/>
          </w:tcPr>
          <w:p>
            <w:r/>
            <w:r>
              <w:rPr>
                <w:b/>
                <w:sz w:val="17"/>
              </w:rPr>
              <w:t>Source</w:t>
            </w:r>
          </w:p>
        </w:tc>
        <w:tc>
          <w:tcPr>
            <w:tcW w:type="dxa" w:w="12643"/>
          </w:tcPr>
          <w:p>
            <w:r/>
            <w:r>
              <w:rPr>
                <w:b w:val="0"/>
                <w:sz w:val="18"/>
              </w:rPr>
              <w:t>Insurance Act 1966 (2020 Revised Edition) — Parliament of Singapore / AGC (SSO); administered by MAS — Insurance Act 1966 — Current version as at 18 Oct 2026 (last amended by Act 5 of 2025, 9 Mar 2025)</w:t>
            </w:r>
          </w:p>
        </w:tc>
      </w:tr>
      <w:tr>
        <w:tc>
          <w:tcPr>
            <w:tcW w:type="dxa" w:w="2381"/>
          </w:tcPr>
          <w:p>
            <w:r/>
            <w:r>
              <w:rPr>
                <w:b/>
                <w:sz w:val="17"/>
              </w:rPr>
              <w:t>Clause / section</w:t>
            </w:r>
          </w:p>
        </w:tc>
        <w:tc>
          <w:tcPr>
            <w:tcW w:type="dxa" w:w="12643"/>
          </w:tcPr>
          <w:p>
            <w:r/>
            <w:r>
              <w:rPr>
                <w:b w:val="0"/>
                <w:sz w:val="18"/>
              </w:rPr>
              <w:t>s 22(1)</w:t>
            </w:r>
          </w:p>
        </w:tc>
      </w:tr>
      <w:tr>
        <w:tc>
          <w:tcPr>
            <w:tcW w:type="dxa" w:w="2381"/>
          </w:tcPr>
          <w:p>
            <w:r/>
            <w:r>
              <w:rPr>
                <w:b/>
                <w:sz w:val="17"/>
              </w:rPr>
              <w:t>URL</w:t>
            </w:r>
          </w:p>
        </w:tc>
        <w:tc>
          <w:tcPr>
            <w:tcW w:type="dxa" w:w="12643"/>
          </w:tcPr>
          <w:p>
            <w:r/>
            <w:r>
              <w:rPr>
                <w:b w:val="0"/>
                <w:sz w:val="18"/>
              </w:rPr>
              <w:t>https://sso.agc.gov.sg/Act/IA1966</w:t>
            </w:r>
          </w:p>
        </w:tc>
      </w:tr>
      <w:tr>
        <w:tc>
          <w:tcPr>
            <w:tcW w:type="dxa" w:w="2381"/>
          </w:tcPr>
          <w:p>
            <w:r/>
            <w:r>
              <w:rPr>
                <w:b/>
                <w:sz w:val="17"/>
              </w:rPr>
              <w:t>Verification</w:t>
            </w:r>
          </w:p>
        </w:tc>
        <w:tc>
          <w:tcPr>
            <w:tcW w:type="dxa" w:w="12643"/>
          </w:tcPr>
          <w:p>
            <w:r/>
            <w:r>
              <w:rPr>
                <w:b w:val="0"/>
                <w:sz w:val="18"/>
              </w:rPr>
              <w:t>Verified – primary text read — This is a prudential rule; a policy wording cannot prove compliance.</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SG-IA-04</w:t>
            </w:r>
          </w:p>
        </w:tc>
        <w:tc>
          <w:tcPr>
            <w:tcW w:type="dxa" w:w="12643"/>
            <w:shd w:val="clear" w:color="auto" w:fill="D9E2F3"/>
          </w:tcPr>
          <w:p>
            <w:r/>
            <w:r>
              <w:rPr>
                <w:b/>
                <w:sz w:val="18"/>
              </w:rPr>
              <w:t>Classification of A&amp;H policies</w:t>
            </w:r>
          </w:p>
        </w:tc>
      </w:tr>
      <w:tr>
        <w:tc>
          <w:tcPr>
            <w:tcW w:type="dxa" w:w="2381"/>
          </w:tcPr>
          <w:p>
            <w:r/>
            <w:r>
              <w:rPr>
                <w:b/>
                <w:sz w:val="17"/>
              </w:rPr>
              <w:t>Rule</w:t>
            </w:r>
          </w:p>
        </w:tc>
        <w:tc>
          <w:tcPr>
            <w:tcW w:type="dxa" w:w="12643"/>
          </w:tcPr>
          <w:p>
            <w:r/>
            <w:r>
              <w:rPr>
                <w:b w:val="0"/>
                <w:sz w:val="18"/>
              </w:rPr>
              <w:t>A 'long-term A&amp;H policy' is one that may remain in force for more than 5 years unless the policy owner terminates it AND contains no term permitting the insurer to terminate unilaterally other than for fraud or material non-disclosure. Any other A&amp;H policy is 'short-term'. Renewal options are assumed to be exercised when measuring duration.</w:t>
            </w:r>
          </w:p>
        </w:tc>
      </w:tr>
      <w:tr>
        <w:tc>
          <w:tcPr>
            <w:tcW w:type="dxa" w:w="2381"/>
          </w:tcPr>
          <w:p>
            <w:r/>
            <w:r>
              <w:rPr>
                <w:b/>
                <w:sz w:val="17"/>
              </w:rPr>
              <w:t>Wording test</w:t>
            </w:r>
          </w:p>
        </w:tc>
        <w:tc>
          <w:tcPr>
            <w:tcW w:type="dxa" w:w="12643"/>
          </w:tcPr>
          <w:p>
            <w:r/>
            <w:r>
              <w:rPr>
                <w:b w:val="0"/>
                <w:sz w:val="18"/>
              </w:rPr>
              <w:t>Classify the product: read the termination/cancellation clause. If the insurer can cancel for any reason other than fraud/material non-disclosure (e.g., 'by giving 30 days' notice'), it is SHORT-TERM and the Appendix D non-renewal statement (SG-N120-04) must appear in the product summary.</w:t>
            </w:r>
          </w:p>
        </w:tc>
      </w:tr>
      <w:tr>
        <w:tc>
          <w:tcPr>
            <w:tcW w:type="dxa" w:w="2381"/>
          </w:tcPr>
          <w:p>
            <w:r/>
            <w:r>
              <w:rPr>
                <w:b/>
                <w:sz w:val="17"/>
              </w:rPr>
              <w:t>Source</w:t>
            </w:r>
          </w:p>
        </w:tc>
        <w:tc>
          <w:tcPr>
            <w:tcW w:type="dxa" w:w="12643"/>
          </w:tcPr>
          <w:p>
            <w:r/>
            <w:r>
              <w:rPr>
                <w:b w:val="0"/>
                <w:sz w:val="18"/>
              </w:rPr>
              <w:t>Insurance Act 1966 (2020 Revised Edition) — Parliament of Singapore / AGC (SSO); administered by MAS — Insurance Act 1966 — Current version as at 18 Oct 2026 (last amended by Act 5 of 2025, 9 Mar 2025)</w:t>
            </w:r>
          </w:p>
        </w:tc>
      </w:tr>
      <w:tr>
        <w:tc>
          <w:tcPr>
            <w:tcW w:type="dxa" w:w="2381"/>
          </w:tcPr>
          <w:p>
            <w:r/>
            <w:r>
              <w:rPr>
                <w:b/>
                <w:sz w:val="17"/>
              </w:rPr>
              <w:t>Clause / section</w:t>
            </w:r>
          </w:p>
        </w:tc>
        <w:tc>
          <w:tcPr>
            <w:tcW w:type="dxa" w:w="12643"/>
          </w:tcPr>
          <w:p>
            <w:r/>
            <w:r>
              <w:rPr>
                <w:b w:val="0"/>
                <w:sz w:val="18"/>
              </w:rPr>
              <w:t>First Schedule paras 9 and 10</w:t>
            </w:r>
          </w:p>
        </w:tc>
      </w:tr>
      <w:tr>
        <w:tc>
          <w:tcPr>
            <w:tcW w:type="dxa" w:w="2381"/>
          </w:tcPr>
          <w:p>
            <w:r/>
            <w:r>
              <w:rPr>
                <w:b/>
                <w:sz w:val="17"/>
              </w:rPr>
              <w:t>URL</w:t>
            </w:r>
          </w:p>
        </w:tc>
        <w:tc>
          <w:tcPr>
            <w:tcW w:type="dxa" w:w="12643"/>
          </w:tcPr>
          <w:p>
            <w:r/>
            <w:r>
              <w:rPr>
                <w:b w:val="0"/>
                <w:sz w:val="18"/>
              </w:rPr>
              <w:t>https://sso.agc.gov.sg/Act/IA1966</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SG-IA-05</w:t>
            </w:r>
          </w:p>
        </w:tc>
        <w:tc>
          <w:tcPr>
            <w:tcW w:type="dxa" w:w="12643"/>
            <w:shd w:val="clear" w:color="auto" w:fill="D9E2F3"/>
          </w:tcPr>
          <w:p>
            <w:r/>
            <w:r>
              <w:rPr>
                <w:b/>
                <w:sz w:val="18"/>
              </w:rPr>
              <w:t>Life &amp; A&amp;H policies of duration ≥ 1 year (incl. IPs and riders)</w:t>
            </w:r>
          </w:p>
        </w:tc>
      </w:tr>
      <w:tr>
        <w:tc>
          <w:tcPr>
            <w:tcW w:type="dxa" w:w="2381"/>
          </w:tcPr>
          <w:p>
            <w:r/>
            <w:r>
              <w:rPr>
                <w:b/>
                <w:sz w:val="17"/>
              </w:rPr>
              <w:t>Rule</w:t>
            </w:r>
          </w:p>
        </w:tc>
        <w:tc>
          <w:tcPr>
            <w:tcW w:type="dxa" w:w="12643"/>
          </w:tcPr>
          <w:p>
            <w:r/>
            <w:r>
              <w:rPr>
                <w:b w:val="0"/>
                <w:sz w:val="18"/>
              </w:rPr>
              <w:t>Free-look: a licensed insurer must not issue a life or A&amp;H policy of one year or more without a clause giving the policy owner at least 14 days after receipt of the policy to examine it and terminate it within that period.</w:t>
            </w:r>
          </w:p>
        </w:tc>
      </w:tr>
      <w:tr>
        <w:tc>
          <w:tcPr>
            <w:tcW w:type="dxa" w:w="2381"/>
          </w:tcPr>
          <w:p>
            <w:r/>
            <w:r>
              <w:rPr>
                <w:b/>
                <w:sz w:val="17"/>
              </w:rPr>
              <w:t>Wording test</w:t>
            </w:r>
          </w:p>
        </w:tc>
        <w:tc>
          <w:tcPr>
            <w:tcW w:type="dxa" w:w="12643"/>
          </w:tcPr>
          <w:p>
            <w:r/>
            <w:r>
              <w:rPr>
                <w:b w:val="0"/>
                <w:sz w:val="18"/>
              </w:rPr>
              <w:t>Free-look clause present? Period ≥ 14 days? Runs from date of RECEIPT of the policy (not issue/inception)? FAIL if shorter, if measured from issue date, or if absent.</w:t>
            </w:r>
          </w:p>
        </w:tc>
      </w:tr>
      <w:tr>
        <w:tc>
          <w:tcPr>
            <w:tcW w:type="dxa" w:w="2381"/>
          </w:tcPr>
          <w:p>
            <w:r/>
            <w:r>
              <w:rPr>
                <w:b/>
                <w:sz w:val="17"/>
              </w:rPr>
              <w:t>Source</w:t>
            </w:r>
          </w:p>
        </w:tc>
        <w:tc>
          <w:tcPr>
            <w:tcW w:type="dxa" w:w="12643"/>
          </w:tcPr>
          <w:p>
            <w:r/>
            <w:r>
              <w:rPr>
                <w:b w:val="0"/>
                <w:sz w:val="18"/>
              </w:rPr>
              <w:t>Insurance (General Provisions) Regulations — MAS (subsidiary legislation under Insurance Act) — IA1966-RG17 (reg 8 as amended by S 613/2015) — Reg 8(1) wef 30 Oct 2015</w:t>
            </w:r>
          </w:p>
        </w:tc>
      </w:tr>
      <w:tr>
        <w:tc>
          <w:tcPr>
            <w:tcW w:type="dxa" w:w="2381"/>
          </w:tcPr>
          <w:p>
            <w:r/>
            <w:r>
              <w:rPr>
                <w:b/>
                <w:sz w:val="17"/>
              </w:rPr>
              <w:t>Clause / section</w:t>
            </w:r>
          </w:p>
        </w:tc>
        <w:tc>
          <w:tcPr>
            <w:tcW w:type="dxa" w:w="12643"/>
          </w:tcPr>
          <w:p>
            <w:r/>
            <w:r>
              <w:rPr>
                <w:b w:val="0"/>
                <w:sz w:val="18"/>
              </w:rPr>
              <w:t>reg 8(1)</w:t>
            </w:r>
          </w:p>
        </w:tc>
      </w:tr>
      <w:tr>
        <w:tc>
          <w:tcPr>
            <w:tcW w:type="dxa" w:w="2381"/>
          </w:tcPr>
          <w:p>
            <w:r/>
            <w:r>
              <w:rPr>
                <w:b/>
                <w:sz w:val="17"/>
              </w:rPr>
              <w:t>URL</w:t>
            </w:r>
          </w:p>
        </w:tc>
        <w:tc>
          <w:tcPr>
            <w:tcW w:type="dxa" w:w="12643"/>
          </w:tcPr>
          <w:p>
            <w:r/>
            <w:r>
              <w:rPr>
                <w:b w:val="0"/>
                <w:sz w:val="18"/>
              </w:rPr>
              <w:t>https://sso.agc.gov.sg/SL/IA1966-RG17?ProvIds=pr8-</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SG-IA-06</w:t>
            </w:r>
          </w:p>
        </w:tc>
        <w:tc>
          <w:tcPr>
            <w:tcW w:type="dxa" w:w="12643"/>
            <w:shd w:val="clear" w:color="auto" w:fill="D9E2F3"/>
          </w:tcPr>
          <w:p>
            <w:r/>
            <w:r>
              <w:rPr>
                <w:b/>
                <w:sz w:val="18"/>
              </w:rPr>
              <w:t>Same</w:t>
            </w:r>
          </w:p>
        </w:tc>
      </w:tr>
      <w:tr>
        <w:tc>
          <w:tcPr>
            <w:tcW w:type="dxa" w:w="2381"/>
          </w:tcPr>
          <w:p>
            <w:r/>
            <w:r>
              <w:rPr>
                <w:b/>
                <w:sz w:val="17"/>
              </w:rPr>
              <w:t>Rule</w:t>
            </w:r>
          </w:p>
        </w:tc>
        <w:tc>
          <w:tcPr>
            <w:tcW w:type="dxa" w:w="12643"/>
          </w:tcPr>
          <w:p>
            <w:r/>
            <w:r>
              <w:rPr>
                <w:b w:val="0"/>
                <w:sz w:val="18"/>
              </w:rPr>
              <w:t>On free-look termination the policy owner may recover all sums paid (premium or otherwise); the insurer may recover only expenses incurred in underwriting the policy (investment-linked: market value adjustment).</w:t>
            </w:r>
          </w:p>
        </w:tc>
      </w:tr>
      <w:tr>
        <w:tc>
          <w:tcPr>
            <w:tcW w:type="dxa" w:w="2381"/>
          </w:tcPr>
          <w:p>
            <w:r/>
            <w:r>
              <w:rPr>
                <w:b/>
                <w:sz w:val="17"/>
              </w:rPr>
              <w:t>Wording test</w:t>
            </w:r>
          </w:p>
        </w:tc>
        <w:tc>
          <w:tcPr>
            <w:tcW w:type="dxa" w:w="12643"/>
          </w:tcPr>
          <w:p>
            <w:r/>
            <w:r>
              <w:rPr>
                <w:b w:val="0"/>
                <w:sz w:val="18"/>
              </w:rPr>
              <w:t>Check refund terms: deductions limited to underwriting expenses (e.g., medical examination costs). FAIL if the wording deducts admin fees, commission, or 'time on risk' premium, or refuses refund outright. Note: LIA/GIA specimen adds 'provided no claims have been made' and 'not applicable to renewals' – permitted industry practice, but compare with PMIS reg 9 for IPs (SG-PMIS-04).</w:t>
            </w:r>
          </w:p>
        </w:tc>
      </w:tr>
      <w:tr>
        <w:tc>
          <w:tcPr>
            <w:tcW w:type="dxa" w:w="2381"/>
          </w:tcPr>
          <w:p>
            <w:r/>
            <w:r>
              <w:rPr>
                <w:b/>
                <w:sz w:val="17"/>
              </w:rPr>
              <w:t>Source</w:t>
            </w:r>
          </w:p>
        </w:tc>
        <w:tc>
          <w:tcPr>
            <w:tcW w:type="dxa" w:w="12643"/>
          </w:tcPr>
          <w:p>
            <w:r/>
            <w:r>
              <w:rPr>
                <w:b w:val="0"/>
                <w:sz w:val="18"/>
              </w:rPr>
              <w:t>Insurance (General Provisions) Regulations — MAS (subsidiary legislation under Insurance Act) — IA1966-RG17 (reg 8 as amended by S 613/2015) — Reg 8(1) wef 30 Oct 2015</w:t>
            </w:r>
          </w:p>
        </w:tc>
      </w:tr>
      <w:tr>
        <w:tc>
          <w:tcPr>
            <w:tcW w:type="dxa" w:w="2381"/>
          </w:tcPr>
          <w:p>
            <w:r/>
            <w:r>
              <w:rPr>
                <w:b/>
                <w:sz w:val="17"/>
              </w:rPr>
              <w:t>Clause / section</w:t>
            </w:r>
          </w:p>
        </w:tc>
        <w:tc>
          <w:tcPr>
            <w:tcW w:type="dxa" w:w="12643"/>
          </w:tcPr>
          <w:p>
            <w:r/>
            <w:r>
              <w:rPr>
                <w:b w:val="0"/>
                <w:sz w:val="18"/>
              </w:rPr>
              <w:t>reg 8(2)-(3)</w:t>
            </w:r>
          </w:p>
        </w:tc>
      </w:tr>
      <w:tr>
        <w:tc>
          <w:tcPr>
            <w:tcW w:type="dxa" w:w="2381"/>
          </w:tcPr>
          <w:p>
            <w:r/>
            <w:r>
              <w:rPr>
                <w:b/>
                <w:sz w:val="17"/>
              </w:rPr>
              <w:t>URL</w:t>
            </w:r>
          </w:p>
        </w:tc>
        <w:tc>
          <w:tcPr>
            <w:tcW w:type="dxa" w:w="12643"/>
          </w:tcPr>
          <w:p>
            <w:r/>
            <w:r>
              <w:rPr>
                <w:b w:val="0"/>
                <w:sz w:val="18"/>
              </w:rPr>
              <w:t>https://sso.agc.gov.sg/SL/IA1966-RG17?ProvIds=pr8-</w:t>
            </w:r>
          </w:p>
        </w:tc>
      </w:tr>
      <w:tr>
        <w:tc>
          <w:tcPr>
            <w:tcW w:type="dxa" w:w="2381"/>
          </w:tcPr>
          <w:p>
            <w:r/>
            <w:r>
              <w:rPr>
                <w:b/>
                <w:sz w:val="17"/>
              </w:rPr>
              <w:t>Verification</w:t>
            </w:r>
          </w:p>
        </w:tc>
        <w:tc>
          <w:tcPr>
            <w:tcW w:type="dxa" w:w="12643"/>
          </w:tcPr>
          <w:p>
            <w:r/>
            <w:r>
              <w:rPr>
                <w:b w:val="0"/>
                <w:sz w:val="18"/>
              </w:rPr>
              <w:t>Verified – primary text read</w:t>
            </w:r>
          </w:p>
        </w:tc>
      </w:tr>
    </w:tbl>
    <w:p/>
    <w:p>
      <w:pPr>
        <w:pStyle w:val="Heading2"/>
      </w:pPr>
      <w:r>
        <w:t>3. MediShield Life Scheme Act, Regulations &amp; MOH rules (MediShield Life)</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SG-MSHL-01</w:t>
            </w:r>
          </w:p>
        </w:tc>
        <w:tc>
          <w:tcPr>
            <w:tcW w:type="dxa" w:w="12643"/>
            <w:shd w:val="clear" w:color="auto" w:fill="D9E2F3"/>
          </w:tcPr>
          <w:p>
            <w:r/>
            <w:r>
              <w:rPr>
                <w:b/>
                <w:sz w:val="18"/>
              </w:rPr>
              <w:t>MediShield Life / IP MediShield Life Component</w:t>
            </w:r>
          </w:p>
        </w:tc>
      </w:tr>
      <w:tr>
        <w:tc>
          <w:tcPr>
            <w:tcW w:type="dxa" w:w="2381"/>
          </w:tcPr>
          <w:p>
            <w:r/>
            <w:r>
              <w:rPr>
                <w:b/>
                <w:sz w:val="17"/>
              </w:rPr>
              <w:t>Rule</w:t>
            </w:r>
          </w:p>
        </w:tc>
        <w:tc>
          <w:tcPr>
            <w:tcW w:type="dxa" w:w="12643"/>
          </w:tcPr>
          <w:p>
            <w:r/>
            <w:r>
              <w:rPr>
                <w:b w:val="0"/>
                <w:sz w:val="18"/>
              </w:rPr>
              <w:t>MediShield Life policy-year claim limit: $200,000 for admissions on or after 1 Apr 2025 ($150,000 for 1 Mar 2021–31 Mar 2025; $100,000 before 1 Mar 2021); no lifetime limit. Claims for approved cell, tissue and gene therapy products (CTGTPs) sit outside the policy-year limit (from 1 Oct 2025).</w:t>
            </w:r>
          </w:p>
        </w:tc>
      </w:tr>
      <w:tr>
        <w:tc>
          <w:tcPr>
            <w:tcW w:type="dxa" w:w="2381"/>
          </w:tcPr>
          <w:p>
            <w:r/>
            <w:r>
              <w:rPr>
                <w:b/>
                <w:sz w:val="17"/>
              </w:rPr>
              <w:t>Wording test</w:t>
            </w:r>
          </w:p>
        </w:tc>
        <w:tc>
          <w:tcPr>
            <w:tcW w:type="dxa" w:w="12643"/>
          </w:tcPr>
          <w:p>
            <w:r/>
            <w:r>
              <w:rPr>
                <w:b w:val="0"/>
                <w:sz w:val="18"/>
              </w:rPr>
              <w:t>Where the IP benefit schedule or product summary quotes MediShield Life limits for comparison (Notice 120 App A-1 para 1(c)), check the figures match the current limits and 'no lifetime limit'.</w:t>
            </w:r>
          </w:p>
        </w:tc>
      </w:tr>
      <w:tr>
        <w:tc>
          <w:tcPr>
            <w:tcW w:type="dxa" w:w="2381"/>
          </w:tcPr>
          <w:p>
            <w:r/>
            <w:r>
              <w:rPr>
                <w:b/>
                <w:sz w:val="17"/>
              </w:rPr>
              <w:t>Source</w:t>
            </w:r>
          </w:p>
        </w:tc>
        <w:tc>
          <w:tcPr>
            <w:tcW w:type="dxa" w:w="12643"/>
          </w:tcPr>
          <w:p>
            <w:r/>
            <w:r>
              <w:rPr>
                <w:b w:val="0"/>
                <w:sz w:val="18"/>
              </w:rPr>
              <w:t>MediShield Life Scheme Regulations 2015 — Minister for Health (subsidiary legislation) — S 622/2015 — Current version as at 18 Oct 2026 (amendments incl. S 231/2025, S 632/2025, S 323/2026, S 542/2026)</w:t>
            </w:r>
          </w:p>
        </w:tc>
      </w:tr>
      <w:tr>
        <w:tc>
          <w:tcPr>
            <w:tcW w:type="dxa" w:w="2381"/>
          </w:tcPr>
          <w:p>
            <w:r/>
            <w:r>
              <w:rPr>
                <w:b/>
                <w:sz w:val="17"/>
              </w:rPr>
              <w:t>Clause / section</w:t>
            </w:r>
          </w:p>
        </w:tc>
        <w:tc>
          <w:tcPr>
            <w:tcW w:type="dxa" w:w="12643"/>
          </w:tcPr>
          <w:p>
            <w:r/>
            <w:r>
              <w:rPr>
                <w:b w:val="0"/>
                <w:sz w:val="18"/>
              </w:rPr>
              <w:t>reg 13(1), (1A), (1B); MOH 'MediShield Life Benefits' page</w:t>
            </w:r>
          </w:p>
        </w:tc>
      </w:tr>
      <w:tr>
        <w:tc>
          <w:tcPr>
            <w:tcW w:type="dxa" w:w="2381"/>
          </w:tcPr>
          <w:p>
            <w:r/>
            <w:r>
              <w:rPr>
                <w:b/>
                <w:sz w:val="17"/>
              </w:rPr>
              <w:t>URL</w:t>
            </w:r>
          </w:p>
        </w:tc>
        <w:tc>
          <w:tcPr>
            <w:tcW w:type="dxa" w:w="12643"/>
          </w:tcPr>
          <w:p>
            <w:r/>
            <w:r>
              <w:rPr>
                <w:b w:val="0"/>
                <w:sz w:val="18"/>
              </w:rPr>
              <w:t>https://sso.agc.gov.sg/SL/MLSA2015-S622-2015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SG-MSHL-02</w:t>
            </w:r>
          </w:p>
        </w:tc>
        <w:tc>
          <w:tcPr>
            <w:tcW w:type="dxa" w:w="12643"/>
            <w:shd w:val="clear" w:color="auto" w:fill="D9E2F3"/>
          </w:tcPr>
          <w:p>
            <w:r/>
            <w:r>
              <w:rPr>
                <w:b/>
                <w:sz w:val="18"/>
              </w:rPr>
              <w:t>MediShield Life</w:t>
            </w:r>
          </w:p>
        </w:tc>
      </w:tr>
      <w:tr>
        <w:tc>
          <w:tcPr>
            <w:tcW w:type="dxa" w:w="2381"/>
          </w:tcPr>
          <w:p>
            <w:r/>
            <w:r>
              <w:rPr>
                <w:b/>
                <w:sz w:val="17"/>
              </w:rPr>
              <w:t>Rule</w:t>
            </w:r>
          </w:p>
        </w:tc>
        <w:tc>
          <w:tcPr>
            <w:tcW w:type="dxa" w:w="12643"/>
          </w:tcPr>
          <w:p>
            <w:r/>
            <w:r>
              <w:rPr>
                <w:b w:val="0"/>
                <w:sz w:val="18"/>
              </w:rPr>
              <w:t>MediShield Life deductible (once per policy year; age next birthday at start of policy year): Class C $2,000 / $2,750 (age ≤80 / ≥81); Class B1/B2 $2,500 / $3,500; Class A incl. private hospitals $3,500 / $4,500; Day surgery $1,500 / $2,000; Outpatient treatments $500 (new from 1 Jun 2026). Inpatient and outpatient deductible payments count towards each other within a policy year.</w:t>
            </w:r>
          </w:p>
        </w:tc>
      </w:tr>
      <w:tr>
        <w:tc>
          <w:tcPr>
            <w:tcW w:type="dxa" w:w="2381"/>
          </w:tcPr>
          <w:p>
            <w:r/>
            <w:r>
              <w:rPr>
                <w:b/>
                <w:sz w:val="17"/>
              </w:rPr>
              <w:t>Wording test</w:t>
            </w:r>
          </w:p>
        </w:tc>
        <w:tc>
          <w:tcPr>
            <w:tcW w:type="dxa" w:w="12643"/>
          </w:tcPr>
          <w:p>
            <w:r/>
            <w:r>
              <w:rPr>
                <w:b w:val="0"/>
                <w:sz w:val="18"/>
              </w:rPr>
              <w:t>Check IP comparison tables reproduce the current MediShield Life deductibles; check the IP's own deductible is not lower than the MOH minimum IP deductibles (SG-RID-05).</w:t>
            </w:r>
          </w:p>
        </w:tc>
      </w:tr>
      <w:tr>
        <w:tc>
          <w:tcPr>
            <w:tcW w:type="dxa" w:w="2381"/>
          </w:tcPr>
          <w:p>
            <w:r/>
            <w:r>
              <w:rPr>
                <w:b/>
                <w:sz w:val="17"/>
              </w:rPr>
              <w:t>Source</w:t>
            </w:r>
          </w:p>
        </w:tc>
        <w:tc>
          <w:tcPr>
            <w:tcW w:type="dxa" w:w="12643"/>
          </w:tcPr>
          <w:p>
            <w:r/>
            <w:r>
              <w:rPr>
                <w:b w:val="0"/>
                <w:sz w:val="18"/>
              </w:rPr>
              <w:t>How to make a MediShield Life Claim — MOH — (web page; Tables I and J) — Last updated 1 Jun 2026</w:t>
            </w:r>
          </w:p>
        </w:tc>
      </w:tr>
      <w:tr>
        <w:tc>
          <w:tcPr>
            <w:tcW w:type="dxa" w:w="2381"/>
          </w:tcPr>
          <w:p>
            <w:r/>
            <w:r>
              <w:rPr>
                <w:b/>
                <w:sz w:val="17"/>
              </w:rPr>
              <w:t>Clause / section</w:t>
            </w:r>
          </w:p>
        </w:tc>
        <w:tc>
          <w:tcPr>
            <w:tcW w:type="dxa" w:w="12643"/>
          </w:tcPr>
          <w:p>
            <w:r/>
            <w:r>
              <w:rPr>
                <w:b w:val="0"/>
                <w:sz w:val="18"/>
              </w:rPr>
              <w:t>Table I (Deductible)</w:t>
            </w:r>
          </w:p>
        </w:tc>
      </w:tr>
      <w:tr>
        <w:tc>
          <w:tcPr>
            <w:tcW w:type="dxa" w:w="2381"/>
          </w:tcPr>
          <w:p>
            <w:r/>
            <w:r>
              <w:rPr>
                <w:b/>
                <w:sz w:val="17"/>
              </w:rPr>
              <w:t>URL</w:t>
            </w:r>
          </w:p>
        </w:tc>
        <w:tc>
          <w:tcPr>
            <w:tcW w:type="dxa" w:w="12643"/>
          </w:tcPr>
          <w:p>
            <w:r/>
            <w:r>
              <w:rPr>
                <w:b w:val="0"/>
                <w:sz w:val="18"/>
              </w:rPr>
              <w:t>https://www.moh.gov.sg/managing-expenses/schemes-and-subsidies/medishield-life/how-to-make-a-medishield-life-claim/</w:t>
            </w:r>
          </w:p>
        </w:tc>
      </w:tr>
      <w:tr>
        <w:tc>
          <w:tcPr>
            <w:tcW w:type="dxa" w:w="2381"/>
          </w:tcPr>
          <w:p>
            <w:r/>
            <w:r>
              <w:rPr>
                <w:b/>
                <w:sz w:val="17"/>
              </w:rPr>
              <w:t>Verification</w:t>
            </w:r>
          </w:p>
        </w:tc>
        <w:tc>
          <w:tcPr>
            <w:tcW w:type="dxa" w:w="12643"/>
          </w:tcPr>
          <w:p>
            <w:r/>
            <w:r>
              <w:rPr>
                <w:b w:val="0"/>
                <w:sz w:val="18"/>
              </w:rPr>
              <w:t>Verified – official MOH/CPF/SDIC web page or press release read — MOH announced a second phase of inpatient deductible increase on 1 Apr 2027 (MOH press release 15 Oct 2024, para 10); the 2027 amounts were NOT retrieved.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SG-MSHL-03</w:t>
            </w:r>
          </w:p>
        </w:tc>
        <w:tc>
          <w:tcPr>
            <w:tcW w:type="dxa" w:w="12643"/>
            <w:shd w:val="clear" w:color="auto" w:fill="D9E2F3"/>
          </w:tcPr>
          <w:p>
            <w:r/>
            <w:r>
              <w:rPr>
                <w:b/>
                <w:sz w:val="18"/>
              </w:rPr>
              <w:t>MediShield Life</w:t>
            </w:r>
          </w:p>
        </w:tc>
      </w:tr>
      <w:tr>
        <w:tc>
          <w:tcPr>
            <w:tcW w:type="dxa" w:w="2381"/>
          </w:tcPr>
          <w:p>
            <w:r/>
            <w:r>
              <w:rPr>
                <w:b/>
                <w:sz w:val="17"/>
              </w:rPr>
              <w:t>Rule</w:t>
            </w:r>
          </w:p>
        </w:tc>
        <w:tc>
          <w:tcPr>
            <w:tcW w:type="dxa" w:w="12643"/>
          </w:tcPr>
          <w:p>
            <w:r/>
            <w:r>
              <w:rPr>
                <w:b w:val="0"/>
                <w:sz w:val="18"/>
              </w:rPr>
              <w:t>MediShield Life co-insurance is tiered on the claimable amount accumulated within a policy year (inclusive of deductible): 10% of first $5,000, 5% of next $5,000, 3% above $10,000. Applies to inpatient, day surgery and outpatient.</w:t>
            </w:r>
          </w:p>
        </w:tc>
      </w:tr>
      <w:tr>
        <w:tc>
          <w:tcPr>
            <w:tcW w:type="dxa" w:w="2381"/>
          </w:tcPr>
          <w:p>
            <w:r/>
            <w:r>
              <w:rPr>
                <w:b/>
                <w:sz w:val="17"/>
              </w:rPr>
              <w:t>Wording test</w:t>
            </w:r>
          </w:p>
        </w:tc>
        <w:tc>
          <w:tcPr>
            <w:tcW w:type="dxa" w:w="12643"/>
          </w:tcPr>
          <w:p>
            <w:r/>
            <w:r>
              <w:rPr>
                <w:b w:val="0"/>
                <w:sz w:val="18"/>
              </w:rPr>
              <w:t>Check IP comparison tables show tiered 10%/5%/3% co-insurance (not a flat 10%).</w:t>
            </w:r>
          </w:p>
        </w:tc>
      </w:tr>
      <w:tr>
        <w:tc>
          <w:tcPr>
            <w:tcW w:type="dxa" w:w="2381"/>
          </w:tcPr>
          <w:p>
            <w:r/>
            <w:r>
              <w:rPr>
                <w:b/>
                <w:sz w:val="17"/>
              </w:rPr>
              <w:t>Source</w:t>
            </w:r>
          </w:p>
        </w:tc>
        <w:tc>
          <w:tcPr>
            <w:tcW w:type="dxa" w:w="12643"/>
          </w:tcPr>
          <w:p>
            <w:r/>
            <w:r>
              <w:rPr>
                <w:b w:val="0"/>
                <w:sz w:val="18"/>
              </w:rPr>
              <w:t>MediShield Life Scheme Regulations 2015 — Minister for Health (subsidiary legislation) — S 622/2015 — Current version as at 18 Oct 2026 (amendments incl. S 231/2025, S 632/2025, S 323/2026, S 542/2026)</w:t>
            </w:r>
          </w:p>
        </w:tc>
      </w:tr>
      <w:tr>
        <w:tc>
          <w:tcPr>
            <w:tcW w:type="dxa" w:w="2381"/>
          </w:tcPr>
          <w:p>
            <w:r/>
            <w:r>
              <w:rPr>
                <w:b/>
                <w:sz w:val="17"/>
              </w:rPr>
              <w:t>Clause / section</w:t>
            </w:r>
          </w:p>
        </w:tc>
        <w:tc>
          <w:tcPr>
            <w:tcW w:type="dxa" w:w="12643"/>
          </w:tcPr>
          <w:p>
            <w:r/>
            <w:r>
              <w:rPr>
                <w:b w:val="0"/>
                <w:sz w:val="18"/>
              </w:rPr>
              <w:t>reg 13(3) formulae; MOH 'How to make a MediShield Life Claim' Table J</w:t>
            </w:r>
          </w:p>
        </w:tc>
      </w:tr>
      <w:tr>
        <w:tc>
          <w:tcPr>
            <w:tcW w:type="dxa" w:w="2381"/>
          </w:tcPr>
          <w:p>
            <w:r/>
            <w:r>
              <w:rPr>
                <w:b/>
                <w:sz w:val="17"/>
              </w:rPr>
              <w:t>URL</w:t>
            </w:r>
          </w:p>
        </w:tc>
        <w:tc>
          <w:tcPr>
            <w:tcW w:type="dxa" w:w="12643"/>
          </w:tcPr>
          <w:p>
            <w:r/>
            <w:r>
              <w:rPr>
                <w:b w:val="0"/>
                <w:sz w:val="18"/>
              </w:rPr>
              <w:t>https://sso.agc.gov.sg/SL/MLSA2015-S622-2015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SG-MSHL-04</w:t>
            </w:r>
          </w:p>
        </w:tc>
        <w:tc>
          <w:tcPr>
            <w:tcW w:type="dxa" w:w="12643"/>
            <w:shd w:val="clear" w:color="auto" w:fill="D9E2F3"/>
          </w:tcPr>
          <w:p>
            <w:r/>
            <w:r>
              <w:rPr>
                <w:b/>
                <w:sz w:val="18"/>
              </w:rPr>
              <w:t>MediShield Life – pro-ration (closest equivalent to IRDAI proportionate deduction)</w:t>
            </w:r>
          </w:p>
        </w:tc>
      </w:tr>
      <w:tr>
        <w:tc>
          <w:tcPr>
            <w:tcW w:type="dxa" w:w="2381"/>
          </w:tcPr>
          <w:p>
            <w:r/>
            <w:r>
              <w:rPr>
                <w:b/>
                <w:sz w:val="17"/>
              </w:rPr>
              <w:t>Rule</w:t>
            </w:r>
          </w:p>
        </w:tc>
        <w:tc>
          <w:tcPr>
            <w:tcW w:type="dxa" w:w="12643"/>
          </w:tcPr>
          <w:p>
            <w:r/>
            <w:r>
              <w:rPr>
                <w:b w:val="0"/>
                <w:sz w:val="18"/>
              </w:rPr>
              <w:t>Non-subsidised bills (higher wards, private hospitals) and bills of PRs are pro-rated BEFORE MediShield Life claims are computed. Ward charges (citizen / PR): C, B2, B2+ 100% / 50%; B1 34% / 29%; A 27% / 25%; private hospital 16% / 16%; community hospital non-subsidised 45% / 37%; day surgery private hospital 21% / 21%. Surgical charges: B1 35% / 30%; A 25% / 25%; private hospital 10% / 10%; day surgery private 15% / 15%. Separate outpatient pro-ration factors apply (e.g., outpatient private 30%).</w:t>
            </w:r>
          </w:p>
        </w:tc>
      </w:tr>
      <w:tr>
        <w:tc>
          <w:tcPr>
            <w:tcW w:type="dxa" w:w="2381"/>
          </w:tcPr>
          <w:p>
            <w:r/>
            <w:r>
              <w:rPr>
                <w:b/>
                <w:sz w:val="17"/>
              </w:rPr>
              <w:t>Wording test</w:t>
            </w:r>
          </w:p>
        </w:tc>
        <w:tc>
          <w:tcPr>
            <w:tcW w:type="dxa" w:w="12643"/>
          </w:tcPr>
          <w:p>
            <w:r/>
            <w:r>
              <w:rPr>
                <w:b w:val="0"/>
                <w:sz w:val="18"/>
              </w:rPr>
              <w:t>(a) For IPs, check that the wording explains that the MediShield Life Component payout is pro-rated for non-subsidised/private bills. (b) Check the IP's OWN pro-ration (if any) is separately disclosed in the schedule (see SG-IP-02). (c) Unlike IRDAI, there is NO Singapore rule restricting which bill items (e.g., pharmacy, consumables, implants) may be pro-rated – flag but do not fail.</w:t>
            </w:r>
          </w:p>
        </w:tc>
      </w:tr>
      <w:tr>
        <w:tc>
          <w:tcPr>
            <w:tcW w:type="dxa" w:w="2381"/>
          </w:tcPr>
          <w:p>
            <w:r/>
            <w:r>
              <w:rPr>
                <w:b/>
                <w:sz w:val="17"/>
              </w:rPr>
              <w:t>Source</w:t>
            </w:r>
          </w:p>
        </w:tc>
        <w:tc>
          <w:tcPr>
            <w:tcW w:type="dxa" w:w="12643"/>
          </w:tcPr>
          <w:p>
            <w:r/>
            <w:r>
              <w:rPr>
                <w:b w:val="0"/>
                <w:sz w:val="18"/>
              </w:rPr>
              <w:t>MediShield Life pro-ration factor — CPF Board — (web page) — Accessed 18 Oct 2026 (page undated)</w:t>
            </w:r>
          </w:p>
        </w:tc>
      </w:tr>
      <w:tr>
        <w:tc>
          <w:tcPr>
            <w:tcW w:type="dxa" w:w="2381"/>
          </w:tcPr>
          <w:p>
            <w:r/>
            <w:r>
              <w:rPr>
                <w:b/>
                <w:sz w:val="17"/>
              </w:rPr>
              <w:t>Clause / section</w:t>
            </w:r>
          </w:p>
        </w:tc>
        <w:tc>
          <w:tcPr>
            <w:tcW w:type="dxa" w:w="12643"/>
          </w:tcPr>
          <w:p>
            <w:r/>
            <w:r>
              <w:rPr>
                <w:b w:val="0"/>
                <w:sz w:val="18"/>
              </w:rPr>
              <w:t>Pro-ration factors tables (ward, outpatient, surgical)</w:t>
            </w:r>
          </w:p>
        </w:tc>
      </w:tr>
      <w:tr>
        <w:tc>
          <w:tcPr>
            <w:tcW w:type="dxa" w:w="2381"/>
          </w:tcPr>
          <w:p>
            <w:r/>
            <w:r>
              <w:rPr>
                <w:b/>
                <w:sz w:val="17"/>
              </w:rPr>
              <w:t>URL</w:t>
            </w:r>
          </w:p>
        </w:tc>
        <w:tc>
          <w:tcPr>
            <w:tcW w:type="dxa" w:w="12643"/>
          </w:tcPr>
          <w:p>
            <w:r/>
            <w:r>
              <w:rPr>
                <w:b w:val="0"/>
                <w:sz w:val="18"/>
              </w:rPr>
              <w:t>https://www.cpf.gov.sg/member/healthcare-financing/medishield-life/medishield-life-proration</w:t>
            </w:r>
          </w:p>
        </w:tc>
      </w:tr>
      <w:tr>
        <w:tc>
          <w:tcPr>
            <w:tcW w:type="dxa" w:w="2381"/>
          </w:tcPr>
          <w:p>
            <w:r/>
            <w:r>
              <w:rPr>
                <w:b/>
                <w:sz w:val="17"/>
              </w:rPr>
              <w:t>Verification</w:t>
            </w:r>
          </w:p>
        </w:tc>
        <w:tc>
          <w:tcPr>
            <w:tcW w:type="dxa" w:w="12643"/>
          </w:tcPr>
          <w:p>
            <w:r/>
            <w:r>
              <w:rPr>
                <w:b w:val="0"/>
                <w:sz w:val="18"/>
              </w:rPr>
              <w:t>Verified – official MOH/CPF/SDIC web page or press release read — MOH's 15 Oct 2024 press release (para 6(a)(iv)) confirms the 2025 revision of private-bill pro-ration factors. Factors are prescribed in the MediShield Life Scheme Regulations Fourth Schedule (not read in full).</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SG-MSHL-05</w:t>
            </w:r>
          </w:p>
        </w:tc>
        <w:tc>
          <w:tcPr>
            <w:tcW w:type="dxa" w:w="12643"/>
            <w:shd w:val="clear" w:color="auto" w:fill="D9E2F3"/>
          </w:tcPr>
          <w:p>
            <w:r/>
            <w:r>
              <w:rPr>
                <w:b/>
                <w:sz w:val="18"/>
              </w:rPr>
              <w:t>MediShield Life – pre-existing conditions</w:t>
            </w:r>
          </w:p>
        </w:tc>
      </w:tr>
      <w:tr>
        <w:tc>
          <w:tcPr>
            <w:tcW w:type="dxa" w:w="2381"/>
          </w:tcPr>
          <w:p>
            <w:r/>
            <w:r>
              <w:rPr>
                <w:b/>
                <w:sz w:val="17"/>
              </w:rPr>
              <w:t>Rule</w:t>
            </w:r>
          </w:p>
        </w:tc>
        <w:tc>
          <w:tcPr>
            <w:tcW w:type="dxa" w:w="12643"/>
          </w:tcPr>
          <w:p>
            <w:r/>
            <w:r>
              <w:rPr>
                <w:b w:val="0"/>
                <w:sz w:val="18"/>
              </w:rPr>
              <w:t>MediShield Life covers pre-existing conditions for life. Persons with a listed serious pre-existing condition pay a premium loading of 30% of the standard premium for the first 10 insurance periods (then standard premium). Categories include cancer, heart disease, stroke, chronic renal disease, COPD, chronic liver disease, serious congenital conditions, schizophrenia, and chronic conditions with serious complications.</w:t>
            </w:r>
          </w:p>
        </w:tc>
      </w:tr>
      <w:tr>
        <w:tc>
          <w:tcPr>
            <w:tcW w:type="dxa" w:w="2381"/>
          </w:tcPr>
          <w:p>
            <w:r/>
            <w:r>
              <w:rPr>
                <w:b/>
                <w:sz w:val="17"/>
              </w:rPr>
              <w:t>Wording test</w:t>
            </w:r>
          </w:p>
        </w:tc>
        <w:tc>
          <w:tcPr>
            <w:tcW w:type="dxa" w:w="12643"/>
          </w:tcPr>
          <w:p>
            <w:r/>
            <w:r>
              <w:rPr>
                <w:b w:val="0"/>
                <w:sz w:val="18"/>
              </w:rPr>
              <w:t>For IPs: check the conditional offer/premium letters break down MediShield Life additional premiums for serious pre-existing conditions (Notice 120 App A-4 para 9(b)). FAIL if any IP document suggests MediShield Life excludes pre-existing conditions.</w:t>
            </w:r>
          </w:p>
        </w:tc>
      </w:tr>
      <w:tr>
        <w:tc>
          <w:tcPr>
            <w:tcW w:type="dxa" w:w="2381"/>
          </w:tcPr>
          <w:p>
            <w:r/>
            <w:r>
              <w:rPr>
                <w:b/>
                <w:sz w:val="17"/>
              </w:rPr>
              <w:t>Source</w:t>
            </w:r>
          </w:p>
        </w:tc>
        <w:tc>
          <w:tcPr>
            <w:tcW w:type="dxa" w:w="12643"/>
          </w:tcPr>
          <w:p>
            <w:r/>
            <w:r>
              <w:rPr>
                <w:b w:val="0"/>
                <w:sz w:val="18"/>
              </w:rPr>
              <w:t>MediShield Life Scheme Regulations 2015 — Minister for Health (subsidiary legislation) — S 622/2015 — Current version as at 18 Oct 2026 (amendments incl. S 231/2025, S 632/2025, S 323/2026, S 542/2026)</w:t>
            </w:r>
          </w:p>
        </w:tc>
      </w:tr>
      <w:tr>
        <w:tc>
          <w:tcPr>
            <w:tcW w:type="dxa" w:w="2381"/>
          </w:tcPr>
          <w:p>
            <w:r/>
            <w:r>
              <w:rPr>
                <w:b/>
                <w:sz w:val="17"/>
              </w:rPr>
              <w:t>Clause / section</w:t>
            </w:r>
          </w:p>
        </w:tc>
        <w:tc>
          <w:tcPr>
            <w:tcW w:type="dxa" w:w="12643"/>
          </w:tcPr>
          <w:p>
            <w:r/>
            <w:r>
              <w:rPr>
                <w:b w:val="0"/>
                <w:sz w:val="18"/>
              </w:rPr>
              <w:t>reg 9(1)-(3); MOH 'Coverage for pre-existing conditions' Table 1</w:t>
            </w:r>
          </w:p>
        </w:tc>
      </w:tr>
      <w:tr>
        <w:tc>
          <w:tcPr>
            <w:tcW w:type="dxa" w:w="2381"/>
          </w:tcPr>
          <w:p>
            <w:r/>
            <w:r>
              <w:rPr>
                <w:b/>
                <w:sz w:val="17"/>
              </w:rPr>
              <w:t>URL</w:t>
            </w:r>
          </w:p>
        </w:tc>
        <w:tc>
          <w:tcPr>
            <w:tcW w:type="dxa" w:w="12643"/>
          </w:tcPr>
          <w:p>
            <w:r/>
            <w:r>
              <w:rPr>
                <w:b w:val="0"/>
                <w:sz w:val="18"/>
              </w:rPr>
              <w:t>https://sso.agc.gov.sg/SL/MLSA2015-S622-2015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SG-MSHL-06</w:t>
            </w:r>
          </w:p>
        </w:tc>
        <w:tc>
          <w:tcPr>
            <w:tcW w:type="dxa" w:w="12643"/>
            <w:shd w:val="clear" w:color="auto" w:fill="D9E2F3"/>
          </w:tcPr>
          <w:p>
            <w:r/>
            <w:r>
              <w:rPr>
                <w:b/>
                <w:sz w:val="18"/>
              </w:rPr>
              <w:t>MediShield Life – exclusions</w:t>
            </w:r>
          </w:p>
        </w:tc>
      </w:tr>
      <w:tr>
        <w:tc>
          <w:tcPr>
            <w:tcW w:type="dxa" w:w="2381"/>
          </w:tcPr>
          <w:p>
            <w:r/>
            <w:r>
              <w:rPr>
                <w:b/>
                <w:sz w:val="17"/>
              </w:rPr>
              <w:t>Rule</w:t>
            </w:r>
          </w:p>
        </w:tc>
        <w:tc>
          <w:tcPr>
            <w:tcW w:type="dxa" w:w="12643"/>
          </w:tcPr>
          <w:p>
            <w:r/>
            <w:r>
              <w:rPr>
                <w:b w:val="0"/>
                <w:sz w:val="18"/>
              </w:rPr>
              <w:t>No MediShield Life benefits for treatments/items in the Third Schedule (e.g., cosmetic surgery, dental work except accidental injury, infertility/assisted conception, maternity charges except serious pregnancy complications, overseas treatment, private nursing, expenses after the 7th day from being medically fit for discharge with a feasible discharge option) or for treatment assessed as inappropriate by the MediShield Life Council.</w:t>
            </w:r>
          </w:p>
        </w:tc>
      </w:tr>
      <w:tr>
        <w:tc>
          <w:tcPr>
            <w:tcW w:type="dxa" w:w="2381"/>
          </w:tcPr>
          <w:p>
            <w:r/>
            <w:r>
              <w:rPr>
                <w:b/>
                <w:sz w:val="17"/>
              </w:rPr>
              <w:t>Wording test</w:t>
            </w:r>
          </w:p>
        </w:tc>
        <w:tc>
          <w:tcPr>
            <w:tcW w:type="dxa" w:w="12643"/>
          </w:tcPr>
          <w:p>
            <w:r/>
            <w:r>
              <w:rPr>
                <w:b w:val="0"/>
                <w:sz w:val="18"/>
              </w:rPr>
              <w:t>Compare the IP's exclusions list: IP may exclude MORE for its private component, but must not describe MediShield Life as excluding items it covers (e.g., listed pregnancy complications; fertility-preservation surgery for iatrogenic infertility from 1 Jun 2026).</w:t>
            </w:r>
          </w:p>
        </w:tc>
      </w:tr>
      <w:tr>
        <w:tc>
          <w:tcPr>
            <w:tcW w:type="dxa" w:w="2381"/>
          </w:tcPr>
          <w:p>
            <w:r/>
            <w:r>
              <w:rPr>
                <w:b/>
                <w:sz w:val="17"/>
              </w:rPr>
              <w:t>Source</w:t>
            </w:r>
          </w:p>
        </w:tc>
        <w:tc>
          <w:tcPr>
            <w:tcW w:type="dxa" w:w="12643"/>
          </w:tcPr>
          <w:p>
            <w:r/>
            <w:r>
              <w:rPr>
                <w:b w:val="0"/>
                <w:sz w:val="18"/>
              </w:rPr>
              <w:t>MediShield Life Scheme Regulations 2015 — Minister for Health (subsidiary legislation) — S 622/2015 — Current version as at 18 Oct 2026 (amendments incl. S 231/2025, S 632/2025, S 323/2026, S 542/2026)</w:t>
            </w:r>
          </w:p>
        </w:tc>
      </w:tr>
      <w:tr>
        <w:tc>
          <w:tcPr>
            <w:tcW w:type="dxa" w:w="2381"/>
          </w:tcPr>
          <w:p>
            <w:r/>
            <w:r>
              <w:rPr>
                <w:b/>
                <w:sz w:val="17"/>
              </w:rPr>
              <w:t>Clause / section</w:t>
            </w:r>
          </w:p>
        </w:tc>
        <w:tc>
          <w:tcPr>
            <w:tcW w:type="dxa" w:w="12643"/>
          </w:tcPr>
          <w:p>
            <w:r/>
            <w:r>
              <w:rPr>
                <w:b w:val="0"/>
                <w:sz w:val="18"/>
              </w:rPr>
              <w:t>reg 12(2); exclusions list on MOH 'MediShield Life Benefits' page</w:t>
            </w:r>
          </w:p>
        </w:tc>
      </w:tr>
      <w:tr>
        <w:tc>
          <w:tcPr>
            <w:tcW w:type="dxa" w:w="2381"/>
          </w:tcPr>
          <w:p>
            <w:r/>
            <w:r>
              <w:rPr>
                <w:b/>
                <w:sz w:val="17"/>
              </w:rPr>
              <w:t>URL</w:t>
            </w:r>
          </w:p>
        </w:tc>
        <w:tc>
          <w:tcPr>
            <w:tcW w:type="dxa" w:w="12643"/>
          </w:tcPr>
          <w:p>
            <w:r/>
            <w:r>
              <w:rPr>
                <w:b w:val="0"/>
                <w:sz w:val="18"/>
              </w:rPr>
              <w:t>https://sso.agc.gov.sg/SL/MLSA2015-S622-2015</w:t>
            </w:r>
          </w:p>
        </w:tc>
      </w:tr>
      <w:tr>
        <w:tc>
          <w:tcPr>
            <w:tcW w:type="dxa" w:w="2381"/>
          </w:tcPr>
          <w:p>
            <w:r/>
            <w:r>
              <w:rPr>
                <w:b/>
                <w:sz w:val="17"/>
              </w:rPr>
              <w:t>Verification</w:t>
            </w:r>
          </w:p>
        </w:tc>
        <w:tc>
          <w:tcPr>
            <w:tcW w:type="dxa" w:w="12643"/>
          </w:tcPr>
          <w:p>
            <w:r/>
            <w:r>
              <w:rPr>
                <w:b w:val="0"/>
                <w:sz w:val="18"/>
              </w:rPr>
              <w:t>Verified – primary text read — Exclusion list read from MOH page; Third Schedule text on SSO not read line-by-line.</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SG-MSHL-07</w:t>
            </w:r>
          </w:p>
        </w:tc>
        <w:tc>
          <w:tcPr>
            <w:tcW w:type="dxa" w:w="12643"/>
            <w:shd w:val="clear" w:color="auto" w:fill="D9E2F3"/>
          </w:tcPr>
          <w:p>
            <w:r/>
            <w:r>
              <w:rPr>
                <w:b/>
                <w:sz w:val="18"/>
              </w:rPr>
              <w:t>MediShield Life – outpatient cancer drugs</w:t>
            </w:r>
          </w:p>
        </w:tc>
      </w:tr>
      <w:tr>
        <w:tc>
          <w:tcPr>
            <w:tcW w:type="dxa" w:w="2381"/>
          </w:tcPr>
          <w:p>
            <w:r/>
            <w:r>
              <w:rPr>
                <w:b/>
                <w:sz w:val="17"/>
              </w:rPr>
              <w:t>Rule</w:t>
            </w:r>
          </w:p>
        </w:tc>
        <w:tc>
          <w:tcPr>
            <w:tcW w:type="dxa" w:w="12643"/>
          </w:tcPr>
          <w:p>
            <w:r/>
            <w:r>
              <w:rPr>
                <w:b w:val="0"/>
                <w:sz w:val="18"/>
              </w:rPr>
              <w:t>MediShield Life and MediSave cover outpatient cancer drug treatments only if listed on MOH's Cancer Drug List (CDL), each with its own claim limit (from 1 Sep 2022). Inpatient cancer drug treatment is under inpatient limits.</w:t>
            </w:r>
          </w:p>
        </w:tc>
      </w:tr>
      <w:tr>
        <w:tc>
          <w:tcPr>
            <w:tcW w:type="dxa" w:w="2381"/>
          </w:tcPr>
          <w:p>
            <w:r/>
            <w:r>
              <w:rPr>
                <w:b/>
                <w:sz w:val="17"/>
              </w:rPr>
              <w:t>Wording test</w:t>
            </w:r>
          </w:p>
        </w:tc>
        <w:tc>
          <w:tcPr>
            <w:tcW w:type="dxa" w:w="12643"/>
          </w:tcPr>
          <w:p>
            <w:r/>
            <w:r>
              <w:rPr>
                <w:b w:val="0"/>
                <w:sz w:val="18"/>
              </w:rPr>
              <w:t>For IP/riders see SG-IP-04.</w:t>
            </w:r>
          </w:p>
        </w:tc>
      </w:tr>
      <w:tr>
        <w:tc>
          <w:tcPr>
            <w:tcW w:type="dxa" w:w="2381"/>
          </w:tcPr>
          <w:p>
            <w:r/>
            <w:r>
              <w:rPr>
                <w:b/>
                <w:sz w:val="17"/>
              </w:rPr>
              <w:t>Source</w:t>
            </w:r>
          </w:p>
        </w:tc>
        <w:tc>
          <w:tcPr>
            <w:tcW w:type="dxa" w:w="12643"/>
          </w:tcPr>
          <w:p>
            <w:r/>
            <w:r>
              <w:rPr>
                <w:b w:val="0"/>
                <w:sz w:val="18"/>
              </w:rPr>
              <w:t>FAQs on cancer treatment financing — MOH — (web page) — Last updated 19 Mar 2025</w:t>
            </w:r>
          </w:p>
        </w:tc>
      </w:tr>
      <w:tr>
        <w:tc>
          <w:tcPr>
            <w:tcW w:type="dxa" w:w="2381"/>
          </w:tcPr>
          <w:p>
            <w:r/>
            <w:r>
              <w:rPr>
                <w:b/>
                <w:sz w:val="17"/>
              </w:rPr>
              <w:t>Clause / section</w:t>
            </w:r>
          </w:p>
        </w:tc>
        <w:tc>
          <w:tcPr>
            <w:tcW w:type="dxa" w:w="12643"/>
          </w:tcPr>
          <w:p>
            <w:r/>
            <w:r>
              <w:rPr>
                <w:b w:val="0"/>
                <w:sz w:val="18"/>
              </w:rPr>
              <w:t>FAQ 'How will the new Cancer Drug Treatment benefit impact my claims'</w:t>
            </w:r>
          </w:p>
        </w:tc>
      </w:tr>
      <w:tr>
        <w:tc>
          <w:tcPr>
            <w:tcW w:type="dxa" w:w="2381"/>
          </w:tcPr>
          <w:p>
            <w:r/>
            <w:r>
              <w:rPr>
                <w:b/>
                <w:sz w:val="17"/>
              </w:rPr>
              <w:t>URL</w:t>
            </w:r>
          </w:p>
        </w:tc>
        <w:tc>
          <w:tcPr>
            <w:tcW w:type="dxa" w:w="12643"/>
          </w:tcPr>
          <w:p>
            <w:r/>
            <w:r>
              <w:rPr>
                <w:b w:val="0"/>
                <w:sz w:val="18"/>
              </w:rPr>
              <w:t>https://www.moh.gov.sg/managing-expenses/schemes-and-subsidies/medishield-life/faqs-on-cancer-treatment-financing/</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SG-MSHL-08</w:t>
            </w:r>
          </w:p>
        </w:tc>
        <w:tc>
          <w:tcPr>
            <w:tcW w:type="dxa" w:w="12643"/>
            <w:shd w:val="clear" w:color="auto" w:fill="D9E2F3"/>
          </w:tcPr>
          <w:p>
            <w:r/>
            <w:r>
              <w:rPr>
                <w:b/>
                <w:sz w:val="18"/>
              </w:rPr>
              <w:t>MediShield Life / IP claims</w:t>
            </w:r>
          </w:p>
        </w:tc>
      </w:tr>
      <w:tr>
        <w:tc>
          <w:tcPr>
            <w:tcW w:type="dxa" w:w="2381"/>
          </w:tcPr>
          <w:p>
            <w:r/>
            <w:r>
              <w:rPr>
                <w:b/>
                <w:sz w:val="17"/>
              </w:rPr>
              <w:t>Rule</w:t>
            </w:r>
          </w:p>
        </w:tc>
        <w:tc>
          <w:tcPr>
            <w:tcW w:type="dxa" w:w="12643"/>
          </w:tcPr>
          <w:p>
            <w:r/>
            <w:r>
              <w:rPr>
                <w:b w:val="0"/>
                <w:sz w:val="18"/>
              </w:rPr>
              <w:t>False or misleading health declarations, means declarations or claim applications under the Scheme are offences (penalty equal to the relevant amount for individuals; higher penalties where intent to cause under-charging/over-payment).</w:t>
            </w:r>
          </w:p>
        </w:tc>
      </w:tr>
      <w:tr>
        <w:tc>
          <w:tcPr>
            <w:tcW w:type="dxa" w:w="2381"/>
          </w:tcPr>
          <w:p>
            <w:r/>
            <w:r>
              <w:rPr>
                <w:b/>
                <w:sz w:val="17"/>
              </w:rPr>
              <w:t>Wording test</w:t>
            </w:r>
          </w:p>
        </w:tc>
        <w:tc>
          <w:tcPr>
            <w:tcW w:type="dxa" w:w="12643"/>
          </w:tcPr>
          <w:p>
            <w:r/>
            <w:r>
              <w:rPr>
                <w:b w:val="0"/>
                <w:sz w:val="18"/>
              </w:rPr>
              <w:t>Check claim-form/declaration warnings in IP documents referencing MediShield Life are consistent; informational for fraud clauses.</w:t>
            </w:r>
          </w:p>
        </w:tc>
      </w:tr>
      <w:tr>
        <w:tc>
          <w:tcPr>
            <w:tcW w:type="dxa" w:w="2381"/>
          </w:tcPr>
          <w:p>
            <w:r/>
            <w:r>
              <w:rPr>
                <w:b/>
                <w:sz w:val="17"/>
              </w:rPr>
              <w:t>Source</w:t>
            </w:r>
          </w:p>
        </w:tc>
        <w:tc>
          <w:tcPr>
            <w:tcW w:type="dxa" w:w="12643"/>
          </w:tcPr>
          <w:p>
            <w:r/>
            <w:r>
              <w:rPr>
                <w:b w:val="0"/>
                <w:sz w:val="18"/>
              </w:rPr>
              <w:t>MediShield Life Scheme Act 2015 — Parliament of Singapore / AGC (SSO); administered by MOH/CPF Board — Act 4 of 2015 — Current version as at 18 Oct 2026 (last amended by Act 40 of 2024 wef 1 Apr 2025)</w:t>
            </w:r>
          </w:p>
        </w:tc>
      </w:tr>
      <w:tr>
        <w:tc>
          <w:tcPr>
            <w:tcW w:type="dxa" w:w="2381"/>
          </w:tcPr>
          <w:p>
            <w:r/>
            <w:r>
              <w:rPr>
                <w:b/>
                <w:sz w:val="17"/>
              </w:rPr>
              <w:t>Clause / section</w:t>
            </w:r>
          </w:p>
        </w:tc>
        <w:tc>
          <w:tcPr>
            <w:tcW w:type="dxa" w:w="12643"/>
          </w:tcPr>
          <w:p>
            <w:r/>
            <w:r>
              <w:rPr>
                <w:b w:val="0"/>
                <w:sz w:val="18"/>
              </w:rPr>
              <w:t>s 19</w:t>
            </w:r>
          </w:p>
        </w:tc>
      </w:tr>
      <w:tr>
        <w:tc>
          <w:tcPr>
            <w:tcW w:type="dxa" w:w="2381"/>
          </w:tcPr>
          <w:p>
            <w:r/>
            <w:r>
              <w:rPr>
                <w:b/>
                <w:sz w:val="17"/>
              </w:rPr>
              <w:t>URL</w:t>
            </w:r>
          </w:p>
        </w:tc>
        <w:tc>
          <w:tcPr>
            <w:tcW w:type="dxa" w:w="12643"/>
          </w:tcPr>
          <w:p>
            <w:r/>
            <w:r>
              <w:rPr>
                <w:b w:val="0"/>
                <w:sz w:val="18"/>
              </w:rPr>
              <w:t>https://sso.agc.gov.sg/Act/MLSA2015</w:t>
            </w:r>
          </w:p>
        </w:tc>
      </w:tr>
      <w:tr>
        <w:tc>
          <w:tcPr>
            <w:tcW w:type="dxa" w:w="2381"/>
          </w:tcPr>
          <w:p>
            <w:r/>
            <w:r>
              <w:rPr>
                <w:b/>
                <w:sz w:val="17"/>
              </w:rPr>
              <w:t>Verification</w:t>
            </w:r>
          </w:p>
        </w:tc>
        <w:tc>
          <w:tcPr>
            <w:tcW w:type="dxa" w:w="12643"/>
          </w:tcPr>
          <w:p>
            <w:r/>
            <w:r>
              <w:rPr>
                <w:b w:val="0"/>
                <w:sz w:val="18"/>
              </w:rPr>
              <w:t>Verified – primary text read</w:t>
            </w:r>
          </w:p>
        </w:tc>
      </w:tr>
    </w:tbl>
    <w:p/>
    <w:p>
      <w:pPr>
        <w:pStyle w:val="Heading2"/>
      </w:pPr>
      <w:r>
        <w:t>4. Integrated Shield Plans &amp; riders – MOH / PMIS rules</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SG-PMIS-01</w:t>
            </w:r>
          </w:p>
        </w:tc>
        <w:tc>
          <w:tcPr>
            <w:tcW w:type="dxa" w:w="12643"/>
            <w:shd w:val="clear" w:color="auto" w:fill="D9E2F3"/>
          </w:tcPr>
          <w:p>
            <w:r/>
            <w:r>
              <w:rPr>
                <w:b/>
                <w:sz w:val="18"/>
              </w:rPr>
              <w:t>IP premiums – MediSave</w:t>
            </w:r>
          </w:p>
        </w:tc>
      </w:tr>
      <w:tr>
        <w:tc>
          <w:tcPr>
            <w:tcW w:type="dxa" w:w="2381"/>
          </w:tcPr>
          <w:p>
            <w:r/>
            <w:r>
              <w:rPr>
                <w:b/>
                <w:sz w:val="17"/>
              </w:rPr>
              <w:t>Rule</w:t>
            </w:r>
          </w:p>
        </w:tc>
        <w:tc>
          <w:tcPr>
            <w:tcW w:type="dxa" w:w="12643"/>
          </w:tcPr>
          <w:p>
            <w:r/>
            <w:r>
              <w:rPr>
                <w:b w:val="0"/>
                <w:sz w:val="18"/>
              </w:rPr>
              <w:t>MediShield Life Component premiums can be paid fully from MediSave. Premiums for the additional private insurance coverage can be paid from MediSave only up to the Additional Withdrawal Limits (AWL) per insured per insurance period, by age at next birthday: ≤40: $300; 41–70: $600; ≥71: $900. Excess must be paid in cash.</w:t>
            </w:r>
          </w:p>
        </w:tc>
      </w:tr>
      <w:tr>
        <w:tc>
          <w:tcPr>
            <w:tcW w:type="dxa" w:w="2381"/>
          </w:tcPr>
          <w:p>
            <w:r/>
            <w:r>
              <w:rPr>
                <w:b/>
                <w:sz w:val="17"/>
              </w:rPr>
              <w:t>Wording test</w:t>
            </w:r>
          </w:p>
        </w:tc>
        <w:tc>
          <w:tcPr>
            <w:tcW w:type="dxa" w:w="12643"/>
          </w:tcPr>
          <w:p>
            <w:r/>
            <w:r>
              <w:rPr>
                <w:b w:val="0"/>
                <w:sz w:val="18"/>
              </w:rPr>
              <w:t>Check the product summary and premium tables state the correct AWLs and show cash outlay above the AWL; FAIL if any document suggests the private component is fully MediSave-payable.</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5(1)(a) and First Schedule (notes 1-2); MOH 'About Integrated Shield Plan'</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SG-PMIS-02</w:t>
            </w:r>
          </w:p>
        </w:tc>
        <w:tc>
          <w:tcPr>
            <w:tcW w:type="dxa" w:w="12643"/>
            <w:shd w:val="clear" w:color="auto" w:fill="D9E2F3"/>
          </w:tcPr>
          <w:p>
            <w:r/>
            <w:r>
              <w:rPr>
                <w:b/>
                <w:sz w:val="18"/>
              </w:rPr>
              <w:t>IP riders – MediSave</w:t>
            </w:r>
          </w:p>
        </w:tc>
      </w:tr>
      <w:tr>
        <w:tc>
          <w:tcPr>
            <w:tcW w:type="dxa" w:w="2381"/>
          </w:tcPr>
          <w:p>
            <w:r/>
            <w:r>
              <w:rPr>
                <w:b/>
                <w:sz w:val="17"/>
              </w:rPr>
              <w:t>Rule</w:t>
            </w:r>
          </w:p>
        </w:tc>
        <w:tc>
          <w:tcPr>
            <w:tcW w:type="dxa" w:w="12643"/>
          </w:tcPr>
          <w:p>
            <w:r/>
            <w:r>
              <w:rPr>
                <w:b w:val="0"/>
                <w:sz w:val="18"/>
              </w:rPr>
              <w:t>IP rider premiums must be paid fully in cash (MediSave cannot be used).</w:t>
            </w:r>
          </w:p>
        </w:tc>
      </w:tr>
      <w:tr>
        <w:tc>
          <w:tcPr>
            <w:tcW w:type="dxa" w:w="2381"/>
          </w:tcPr>
          <w:p>
            <w:r/>
            <w:r>
              <w:rPr>
                <w:b/>
                <w:sz w:val="17"/>
              </w:rPr>
              <w:t>Wording test</w:t>
            </w:r>
          </w:p>
        </w:tc>
        <w:tc>
          <w:tcPr>
            <w:tcW w:type="dxa" w:w="12643"/>
          </w:tcPr>
          <w:p>
            <w:r/>
            <w:r>
              <w:rPr>
                <w:b w:val="0"/>
                <w:sz w:val="18"/>
              </w:rPr>
              <w:t>FAIL if the rider wording/premium clause allows MediSave deduction for rider premiums.</w:t>
            </w:r>
          </w:p>
        </w:tc>
      </w:tr>
      <w:tr>
        <w:tc>
          <w:tcPr>
            <w:tcW w:type="dxa" w:w="2381"/>
          </w:tcPr>
          <w:p>
            <w:r/>
            <w:r>
              <w:rPr>
                <w:b/>
                <w:sz w:val="17"/>
              </w:rPr>
              <w:t>Source</w:t>
            </w:r>
          </w:p>
        </w:tc>
        <w:tc>
          <w:tcPr>
            <w:tcW w:type="dxa" w:w="12643"/>
          </w:tcPr>
          <w:p>
            <w:r/>
            <w:r>
              <w:rPr>
                <w:b w:val="0"/>
                <w:sz w:val="18"/>
              </w:rPr>
              <w:t>New Integrated Shield Plan (IP) Riders — MOH — (web page) — Last updated 4 May 2026</w:t>
            </w:r>
          </w:p>
        </w:tc>
      </w:tr>
      <w:tr>
        <w:tc>
          <w:tcPr>
            <w:tcW w:type="dxa" w:w="2381"/>
          </w:tcPr>
          <w:p>
            <w:r/>
            <w:r>
              <w:rPr>
                <w:b/>
                <w:sz w:val="17"/>
              </w:rPr>
              <w:t>Clause / section</w:t>
            </w:r>
          </w:p>
        </w:tc>
        <w:tc>
          <w:tcPr>
            <w:tcW w:type="dxa" w:w="12643"/>
          </w:tcPr>
          <w:p>
            <w:r/>
            <w:r>
              <w:rPr>
                <w:b w:val="0"/>
                <w:sz w:val="18"/>
              </w:rPr>
              <w:t>'Role of riders' section</w:t>
            </w:r>
          </w:p>
        </w:tc>
      </w:tr>
      <w:tr>
        <w:tc>
          <w:tcPr>
            <w:tcW w:type="dxa" w:w="2381"/>
          </w:tcPr>
          <w:p>
            <w:r/>
            <w:r>
              <w:rPr>
                <w:b/>
                <w:sz w:val="17"/>
              </w:rPr>
              <w:t>URL</w:t>
            </w:r>
          </w:p>
        </w:tc>
        <w:tc>
          <w:tcPr>
            <w:tcW w:type="dxa" w:w="12643"/>
          </w:tcPr>
          <w:p>
            <w:r/>
            <w:r>
              <w:rPr>
                <w:b w:val="0"/>
                <w:sz w:val="18"/>
              </w:rPr>
              <w:t>https://www.moh.gov.sg/newipriders/</w:t>
            </w:r>
          </w:p>
        </w:tc>
      </w:tr>
      <w:tr>
        <w:tc>
          <w:tcPr>
            <w:tcW w:type="dxa" w:w="2381"/>
          </w:tcPr>
          <w:p>
            <w:r/>
            <w:r>
              <w:rPr>
                <w:b/>
                <w:sz w:val="17"/>
              </w:rPr>
              <w:t>Verification</w:t>
            </w:r>
          </w:p>
        </w:tc>
        <w:tc>
          <w:tcPr>
            <w:tcW w:type="dxa" w:w="12643"/>
          </w:tcPr>
          <w:p>
            <w:r/>
            <w:r>
              <w:rPr>
                <w:b w:val="0"/>
                <w:sz w:val="18"/>
              </w:rPr>
              <w:t>Verified – official MOH/CPF/SDIC web page or press release read — Also reflected in MAS Information Paper (Apr 2025), Poor Practice 3.1C: 'restriction on the use of MediSave to pay for IP riders'.</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SG-PMIS-03</w:t>
            </w:r>
          </w:p>
        </w:tc>
        <w:tc>
          <w:tcPr>
            <w:tcW w:type="dxa" w:w="12643"/>
            <w:shd w:val="clear" w:color="auto" w:fill="D9E2F3"/>
          </w:tcPr>
          <w:p>
            <w:r/>
            <w:r>
              <w:rPr>
                <w:b/>
                <w:sz w:val="18"/>
              </w:rPr>
              <w:t>IP – one MediSave-approved plan at a time</w:t>
            </w:r>
          </w:p>
        </w:tc>
      </w:tr>
      <w:tr>
        <w:tc>
          <w:tcPr>
            <w:tcW w:type="dxa" w:w="2381"/>
          </w:tcPr>
          <w:p>
            <w:r/>
            <w:r>
              <w:rPr>
                <w:b/>
                <w:sz w:val="17"/>
              </w:rPr>
              <w:t>Rule</w:t>
            </w:r>
          </w:p>
        </w:tc>
        <w:tc>
          <w:tcPr>
            <w:tcW w:type="dxa" w:w="12643"/>
          </w:tcPr>
          <w:p>
            <w:r/>
            <w:r>
              <w:rPr>
                <w:b w:val="0"/>
                <w:sz w:val="18"/>
              </w:rPr>
              <w:t>CPF Board may not approve MediSave withdrawals for more than one MediSave-approved plan (or a MediSave-approved plan plus stand-alone MediShield Life) for the same insured concurrently. When a later MediSave-approved plan commences, the earlier one terminates (unless reinstated by the earlier insurer, which terminates the later plan).</w:t>
            </w:r>
          </w:p>
        </w:tc>
      </w:tr>
      <w:tr>
        <w:tc>
          <w:tcPr>
            <w:tcW w:type="dxa" w:w="2381"/>
          </w:tcPr>
          <w:p>
            <w:r/>
            <w:r>
              <w:rPr>
                <w:b/>
                <w:sz w:val="17"/>
              </w:rPr>
              <w:t>Wording test</w:t>
            </w:r>
          </w:p>
        </w:tc>
        <w:tc>
          <w:tcPr>
            <w:tcW w:type="dxa" w:w="12643"/>
          </w:tcPr>
          <w:p>
            <w:r/>
            <w:r>
              <w:rPr>
                <w:b w:val="0"/>
                <w:sz w:val="18"/>
              </w:rPr>
              <w:t>Check the IP wording's 'termination' clause states that the policy ends if the insured buys another IP, and how reinstatement works. FAIL if wording purports to allow two concurrent IPs.</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4(2), 4(5); reg 8(1)-(3)</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SG-PMIS-04</w:t>
            </w:r>
          </w:p>
        </w:tc>
        <w:tc>
          <w:tcPr>
            <w:tcW w:type="dxa" w:w="12643"/>
            <w:shd w:val="clear" w:color="auto" w:fill="D9E2F3"/>
          </w:tcPr>
          <w:p>
            <w:r/>
            <w:r>
              <w:rPr>
                <w:b/>
                <w:sz w:val="18"/>
              </w:rPr>
              <w:t>IP refunds on termination</w:t>
            </w:r>
          </w:p>
        </w:tc>
      </w:tr>
      <w:tr>
        <w:tc>
          <w:tcPr>
            <w:tcW w:type="dxa" w:w="2381"/>
          </w:tcPr>
          <w:p>
            <w:r/>
            <w:r>
              <w:rPr>
                <w:b/>
                <w:sz w:val="17"/>
              </w:rPr>
              <w:t>Rule</w:t>
            </w:r>
          </w:p>
        </w:tc>
        <w:tc>
          <w:tcPr>
            <w:tcW w:type="dxa" w:w="12643"/>
          </w:tcPr>
          <w:p>
            <w:r/>
            <w:r>
              <w:rPr>
                <w:b w:val="0"/>
                <w:sz w:val="18"/>
              </w:rPr>
              <w:t>If an IP is terminated within its free-look period, the insurer must refund ALL premiums paid for the additional private coverage. If terminated after the free-look period, or within it after a claim was paid, the refund must be not less than the pro-rated premium for the unexpired period. The MediSave-funded proportion must be refunded to MediSave.</w:t>
            </w:r>
          </w:p>
        </w:tc>
      </w:tr>
      <w:tr>
        <w:tc>
          <w:tcPr>
            <w:tcW w:type="dxa" w:w="2381"/>
          </w:tcPr>
          <w:p>
            <w:r/>
            <w:r>
              <w:rPr>
                <w:b/>
                <w:sz w:val="17"/>
              </w:rPr>
              <w:t>Wording test</w:t>
            </w:r>
          </w:p>
        </w:tc>
        <w:tc>
          <w:tcPr>
            <w:tcW w:type="dxa" w:w="12643"/>
          </w:tcPr>
          <w:p>
            <w:r/>
            <w:r>
              <w:rPr>
                <w:b w:val="0"/>
                <w:sz w:val="18"/>
              </w:rPr>
              <w:t>Check the IP termination/refund clause: (i) full refund of private-component premium within free-look (note: the PMIS rule does not itself allow deduction of expenses – compare with GPR reg 8(2)(b)); (ii) pro-rata (not short-period scale less favourable than pro-rata) refund after free-look; (iii) MediSave portion back to MediSave.</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9(1), 9(2), 9(4), 9(6)</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SG-PMIS-05</w:t>
            </w:r>
          </w:p>
        </w:tc>
        <w:tc>
          <w:tcPr>
            <w:tcW w:type="dxa" w:w="12643"/>
            <w:shd w:val="clear" w:color="auto" w:fill="D9E2F3"/>
          </w:tcPr>
          <w:p>
            <w:r/>
            <w:r>
              <w:rPr>
                <w:b/>
                <w:sz w:val="18"/>
              </w:rPr>
              <w:t>IP cancellation ab initio (e.g., non-disclosure)</w:t>
            </w:r>
          </w:p>
        </w:tc>
      </w:tr>
      <w:tr>
        <w:tc>
          <w:tcPr>
            <w:tcW w:type="dxa" w:w="2381"/>
          </w:tcPr>
          <w:p>
            <w:r/>
            <w:r>
              <w:rPr>
                <w:b/>
                <w:sz w:val="17"/>
              </w:rPr>
              <w:t>Rule</w:t>
            </w:r>
          </w:p>
        </w:tc>
        <w:tc>
          <w:tcPr>
            <w:tcW w:type="dxa" w:w="12643"/>
          </w:tcPr>
          <w:p>
            <w:r/>
            <w:r>
              <w:rPr>
                <w:b w:val="0"/>
                <w:sz w:val="18"/>
              </w:rPr>
              <w:t>If an insurer cancels an IP so that the person is treated as never insured, it must refund the private-component premium; if a claim was made before cancellation, refund not less than premiums pro-rated for insurance periods after the period of the last claim.</w:t>
            </w:r>
          </w:p>
        </w:tc>
      </w:tr>
      <w:tr>
        <w:tc>
          <w:tcPr>
            <w:tcW w:type="dxa" w:w="2381"/>
          </w:tcPr>
          <w:p>
            <w:r/>
            <w:r>
              <w:rPr>
                <w:b/>
                <w:sz w:val="17"/>
              </w:rPr>
              <w:t>Wording test</w:t>
            </w:r>
          </w:p>
        </w:tc>
        <w:tc>
          <w:tcPr>
            <w:tcW w:type="dxa" w:w="12643"/>
          </w:tcPr>
          <w:p>
            <w:r/>
            <w:r>
              <w:rPr>
                <w:b w:val="0"/>
                <w:sz w:val="18"/>
              </w:rPr>
              <w:t>Check the non-disclosure/avoidance clause: does it provide for premium refund consistent with reg 9(3)? FAIL if it says premiums are forfeited on avoidance.</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9(3)</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SG-PMIS-06</w:t>
            </w:r>
          </w:p>
        </w:tc>
        <w:tc>
          <w:tcPr>
            <w:tcW w:type="dxa" w:w="12643"/>
            <w:shd w:val="clear" w:color="auto" w:fill="D9E2F3"/>
          </w:tcPr>
          <w:p>
            <w:r/>
            <w:r>
              <w:rPr>
                <w:b/>
                <w:sz w:val="18"/>
              </w:rPr>
              <w:t>IP – recovery from third parties</w:t>
            </w:r>
          </w:p>
        </w:tc>
      </w:tr>
      <w:tr>
        <w:tc>
          <w:tcPr>
            <w:tcW w:type="dxa" w:w="2381"/>
          </w:tcPr>
          <w:p>
            <w:r/>
            <w:r>
              <w:rPr>
                <w:b/>
                <w:sz w:val="17"/>
              </w:rPr>
              <w:t>Rule</w:t>
            </w:r>
          </w:p>
        </w:tc>
        <w:tc>
          <w:tcPr>
            <w:tcW w:type="dxa" w:w="12643"/>
          </w:tcPr>
          <w:p>
            <w:r/>
            <w:r>
              <w:rPr>
                <w:b w:val="0"/>
                <w:sz w:val="18"/>
              </w:rPr>
              <w:t>Where another person (e.g., another insurer, employer) reimburses charges already paid under a MediSave-approved plan, the insured must repay the excess (X + Y − Z) to the Fund/insurer; insurer may retain its share and transfer the balance (up to the Fund's payout) to CPF Board.</w:t>
            </w:r>
          </w:p>
        </w:tc>
      </w:tr>
      <w:tr>
        <w:tc>
          <w:tcPr>
            <w:tcW w:type="dxa" w:w="2381"/>
          </w:tcPr>
          <w:p>
            <w:r/>
            <w:r>
              <w:rPr>
                <w:b/>
                <w:sz w:val="17"/>
              </w:rPr>
              <w:t>Wording test</w:t>
            </w:r>
          </w:p>
        </w:tc>
        <w:tc>
          <w:tcPr>
            <w:tcW w:type="dxa" w:w="12643"/>
          </w:tcPr>
          <w:p>
            <w:r/>
            <w:r>
              <w:rPr>
                <w:b w:val="0"/>
                <w:sz w:val="18"/>
              </w:rPr>
              <w:t>Check 'other insurance/recovery' clause: the insurer may recover only over-recovery above actual charges; FAIL if it claims recovery of the full payout regardless of actual charges.</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10(1)-(3)</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SG-PMIS-07</w:t>
            </w:r>
          </w:p>
        </w:tc>
        <w:tc>
          <w:tcPr>
            <w:tcW w:type="dxa" w:w="12643"/>
            <w:shd w:val="clear" w:color="auto" w:fill="D9E2F3"/>
          </w:tcPr>
          <w:p>
            <w:r/>
            <w:r>
              <w:rPr>
                <w:b/>
                <w:sz w:val="18"/>
              </w:rPr>
              <w:t>IP insurance period</w:t>
            </w:r>
          </w:p>
        </w:tc>
      </w:tr>
      <w:tr>
        <w:tc>
          <w:tcPr>
            <w:tcW w:type="dxa" w:w="2381"/>
          </w:tcPr>
          <w:p>
            <w:r/>
            <w:r>
              <w:rPr>
                <w:b/>
                <w:sz w:val="17"/>
              </w:rPr>
              <w:t>Rule</w:t>
            </w:r>
          </w:p>
        </w:tc>
        <w:tc>
          <w:tcPr>
            <w:tcW w:type="dxa" w:w="12643"/>
          </w:tcPr>
          <w:p>
            <w:r/>
            <w:r>
              <w:rPr>
                <w:b w:val="0"/>
                <w:sz w:val="18"/>
              </w:rPr>
              <w:t>On payment of premium, the insured is covered for 12 months from the premium due date unless a shorter period applies or the plan is earlier terminated/cancelled.</w:t>
            </w:r>
          </w:p>
        </w:tc>
      </w:tr>
      <w:tr>
        <w:tc>
          <w:tcPr>
            <w:tcW w:type="dxa" w:w="2381"/>
          </w:tcPr>
          <w:p>
            <w:r/>
            <w:r>
              <w:rPr>
                <w:b/>
                <w:sz w:val="17"/>
              </w:rPr>
              <w:t>Wording test</w:t>
            </w:r>
          </w:p>
        </w:tc>
        <w:tc>
          <w:tcPr>
            <w:tcW w:type="dxa" w:w="12643"/>
          </w:tcPr>
          <w:p>
            <w:r/>
            <w:r>
              <w:rPr>
                <w:b w:val="0"/>
                <w:sz w:val="18"/>
              </w:rPr>
              <w:t>Check policy year definition = 12 months.</w:t>
            </w:r>
          </w:p>
        </w:tc>
      </w:tr>
      <w:tr>
        <w:tc>
          <w:tcPr>
            <w:tcW w:type="dxa" w:w="2381"/>
          </w:tcPr>
          <w:p>
            <w:r/>
            <w:r>
              <w:rPr>
                <w:b/>
                <w:sz w:val="17"/>
              </w:rPr>
              <w:t>Source</w:t>
            </w:r>
          </w:p>
        </w:tc>
        <w:tc>
          <w:tcPr>
            <w:tcW w:type="dxa" w:w="12643"/>
          </w:tcPr>
          <w:p>
            <w:r/>
            <w:r>
              <w:rPr>
                <w:b w:val="0"/>
                <w:sz w:val="18"/>
              </w:rPr>
              <w:t>MediShield Life Scheme (Private Medical Insurance Scheme) Regulations 2015 — Minister for Health (subsidiary legislation) — S 623/2015 — In operation 1 Nov 2015; informal consolidation in force from 20 Sep 2021 (S 704/2021)</w:t>
            </w:r>
          </w:p>
        </w:tc>
      </w:tr>
      <w:tr>
        <w:tc>
          <w:tcPr>
            <w:tcW w:type="dxa" w:w="2381"/>
          </w:tcPr>
          <w:p>
            <w:r/>
            <w:r>
              <w:rPr>
                <w:b/>
                <w:sz w:val="17"/>
              </w:rPr>
              <w:t>Clause / section</w:t>
            </w:r>
          </w:p>
        </w:tc>
        <w:tc>
          <w:tcPr>
            <w:tcW w:type="dxa" w:w="12643"/>
          </w:tcPr>
          <w:p>
            <w:r/>
            <w:r>
              <w:rPr>
                <w:b w:val="0"/>
                <w:sz w:val="18"/>
              </w:rPr>
              <w:t>reg 7</w:t>
            </w:r>
          </w:p>
        </w:tc>
      </w:tr>
      <w:tr>
        <w:tc>
          <w:tcPr>
            <w:tcW w:type="dxa" w:w="2381"/>
          </w:tcPr>
          <w:p>
            <w:r/>
            <w:r>
              <w:rPr>
                <w:b/>
                <w:sz w:val="17"/>
              </w:rPr>
              <w:t>URL</w:t>
            </w:r>
          </w:p>
        </w:tc>
        <w:tc>
          <w:tcPr>
            <w:tcW w:type="dxa" w:w="12643"/>
          </w:tcPr>
          <w:p>
            <w:r/>
            <w:r>
              <w:rPr>
                <w:b w:val="0"/>
                <w:sz w:val="18"/>
              </w:rPr>
              <w:t>https://sso.agc.gov.sg/SL/MLSA2015-S623-2015</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SG-IP-01</w:t>
            </w:r>
          </w:p>
        </w:tc>
        <w:tc>
          <w:tcPr>
            <w:tcW w:type="dxa" w:w="12643"/>
            <w:shd w:val="clear" w:color="auto" w:fill="D9E2F3"/>
          </w:tcPr>
          <w:p>
            <w:r/>
            <w:r>
              <w:rPr>
                <w:b/>
                <w:sz w:val="18"/>
              </w:rPr>
              <w:t>IP – pre-existing conditions</w:t>
            </w:r>
          </w:p>
        </w:tc>
      </w:tr>
      <w:tr>
        <w:tc>
          <w:tcPr>
            <w:tcW w:type="dxa" w:w="2381"/>
          </w:tcPr>
          <w:p>
            <w:r/>
            <w:r>
              <w:rPr>
                <w:b/>
                <w:sz w:val="17"/>
              </w:rPr>
              <w:t>Rule</w:t>
            </w:r>
          </w:p>
        </w:tc>
        <w:tc>
          <w:tcPr>
            <w:tcW w:type="dxa" w:w="12643"/>
          </w:tcPr>
          <w:p>
            <w:r/>
            <w:r>
              <w:rPr>
                <w:b w:val="0"/>
                <w:sz w:val="18"/>
              </w:rPr>
              <w:t>MediShield Life covers pre-existing conditions even if the additional private component of the IP excludes them.</w:t>
            </w:r>
          </w:p>
        </w:tc>
      </w:tr>
      <w:tr>
        <w:tc>
          <w:tcPr>
            <w:tcW w:type="dxa" w:w="2381"/>
          </w:tcPr>
          <w:p>
            <w:r/>
            <w:r>
              <w:rPr>
                <w:b/>
                <w:sz w:val="17"/>
              </w:rPr>
              <w:t>Wording test</w:t>
            </w:r>
          </w:p>
        </w:tc>
        <w:tc>
          <w:tcPr>
            <w:tcW w:type="dxa" w:w="12643"/>
          </w:tcPr>
          <w:p>
            <w:r/>
            <w:r>
              <w:rPr>
                <w:b w:val="0"/>
                <w:sz w:val="18"/>
              </w:rPr>
              <w:t>Check any IP pre-existing condition exclusion is expressed to apply only to the additional private insurance coverage, and that the wording states that MediShield Life cover continues. FAIL if the exclusion appears to bar the MediShield Life Component payout.</w:t>
            </w:r>
          </w:p>
        </w:tc>
      </w:tr>
      <w:tr>
        <w:tc>
          <w:tcPr>
            <w:tcW w:type="dxa" w:w="2381"/>
          </w:tcPr>
          <w:p>
            <w:r/>
            <w:r>
              <w:rPr>
                <w:b/>
                <w:sz w:val="17"/>
              </w:rPr>
              <w:t>Source</w:t>
            </w:r>
          </w:p>
        </w:tc>
        <w:tc>
          <w:tcPr>
            <w:tcW w:type="dxa" w:w="12643"/>
          </w:tcPr>
          <w:p>
            <w:r/>
            <w:r>
              <w:rPr>
                <w:b w:val="0"/>
                <w:sz w:val="18"/>
              </w:rPr>
              <w:t>About Integrated Shield Plan — MOH — (web page) — Last updated 30 Apr 2026</w:t>
            </w:r>
          </w:p>
        </w:tc>
      </w:tr>
      <w:tr>
        <w:tc>
          <w:tcPr>
            <w:tcW w:type="dxa" w:w="2381"/>
          </w:tcPr>
          <w:p>
            <w:r/>
            <w:r>
              <w:rPr>
                <w:b/>
                <w:sz w:val="17"/>
              </w:rPr>
              <w:t>Clause / section</w:t>
            </w:r>
          </w:p>
        </w:tc>
        <w:tc>
          <w:tcPr>
            <w:tcW w:type="dxa" w:w="12643"/>
          </w:tcPr>
          <w:p>
            <w:r/>
            <w:r>
              <w:rPr>
                <w:b w:val="0"/>
                <w:sz w:val="18"/>
              </w:rPr>
              <w:t>'What is an Integrated Shield Plan?'</w:t>
            </w:r>
          </w:p>
        </w:tc>
      </w:tr>
      <w:tr>
        <w:tc>
          <w:tcPr>
            <w:tcW w:type="dxa" w:w="2381"/>
          </w:tcPr>
          <w:p>
            <w:r/>
            <w:r>
              <w:rPr>
                <w:b/>
                <w:sz w:val="17"/>
              </w:rPr>
              <w:t>URL</w:t>
            </w:r>
          </w:p>
        </w:tc>
        <w:tc>
          <w:tcPr>
            <w:tcW w:type="dxa" w:w="12643"/>
          </w:tcPr>
          <w:p>
            <w:r/>
            <w:r>
              <w:rPr>
                <w:b w:val="0"/>
                <w:sz w:val="18"/>
              </w:rPr>
              <w:t>https://www.moh.gov.sg/managing-expenses/schemes-and-subsidies/integrated-shield-plans/about-integrated-shield-plans/</w:t>
            </w:r>
          </w:p>
        </w:tc>
      </w:tr>
      <w:tr>
        <w:tc>
          <w:tcPr>
            <w:tcW w:type="dxa" w:w="2381"/>
          </w:tcPr>
          <w:p>
            <w:r/>
            <w:r>
              <w:rPr>
                <w:b/>
                <w:sz w:val="17"/>
              </w:rPr>
              <w:t>Verification</w:t>
            </w:r>
          </w:p>
        </w:tc>
        <w:tc>
          <w:tcPr>
            <w:tcW w:type="dxa" w:w="12643"/>
          </w:tcPr>
          <w:p>
            <w:r/>
            <w:r>
              <w:rPr>
                <w:b w:val="0"/>
                <w:sz w:val="18"/>
              </w:rPr>
              <w:t>Verified – official MOH/CPF/SDIC web page or press release read — Corroborated by MAS Notice 120 App A-4 para 15 and App A-6 para 25 (MediShield Life continues without excluding existing medical conditions).</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SG-IP-02</w:t>
            </w:r>
          </w:p>
        </w:tc>
        <w:tc>
          <w:tcPr>
            <w:tcW w:type="dxa" w:w="12643"/>
            <w:shd w:val="clear" w:color="auto" w:fill="D9E2F3"/>
          </w:tcPr>
          <w:p>
            <w:r/>
            <w:r>
              <w:rPr>
                <w:b/>
                <w:sz w:val="18"/>
              </w:rPr>
              <w:t>IP – own pro-ration (ward class / hospital type)</w:t>
            </w:r>
          </w:p>
        </w:tc>
      </w:tr>
      <w:tr>
        <w:tc>
          <w:tcPr>
            <w:tcW w:type="dxa" w:w="2381"/>
          </w:tcPr>
          <w:p>
            <w:r/>
            <w:r>
              <w:rPr>
                <w:b/>
                <w:sz w:val="17"/>
              </w:rPr>
              <w:t>Rule</w:t>
            </w:r>
          </w:p>
        </w:tc>
        <w:tc>
          <w:tcPr>
            <w:tcW w:type="dxa" w:w="12643"/>
          </w:tcPr>
          <w:p>
            <w:r/>
            <w:r>
              <w:rPr>
                <w:b w:val="0"/>
                <w:sz w:val="18"/>
              </w:rPr>
              <w:t>No MOH or MAS rule fixing IP-level pro-ration factors was located. IP insurers set their own pro-ration factors (e.g., when an insured on a public-hospital/B1 plan uses a higher ward or private hospital); these appear in each plan's schedule of benefits.</w:t>
            </w:r>
          </w:p>
        </w:tc>
      </w:tr>
      <w:tr>
        <w:tc>
          <w:tcPr>
            <w:tcW w:type="dxa" w:w="2381"/>
          </w:tcPr>
          <w:p>
            <w:r/>
            <w:r>
              <w:rPr>
                <w:b/>
                <w:sz w:val="17"/>
              </w:rPr>
              <w:t>Wording test</w:t>
            </w:r>
          </w:p>
        </w:tc>
        <w:tc>
          <w:tcPr>
            <w:tcW w:type="dxa" w:w="12643"/>
          </w:tcPr>
          <w:p>
            <w:r/>
            <w:r>
              <w:rPr>
                <w:b w:val="0"/>
                <w:sz w:val="18"/>
              </w:rPr>
              <w:t>Check the schedule: (i) pro-ration factors disclosed per ward class/hospital type; (ii) whether they apply before/after deductible and co-insurance; (iii) whether exceptions exist (emergency admission, no bed available, panel). Compare with IRDAI approach (proportionate deduction limited to room-rent-linked items) – Singapore has no equivalent restriction.</w:t>
            </w:r>
          </w:p>
        </w:tc>
      </w:tr>
      <w:tr>
        <w:tc>
          <w:tcPr>
            <w:tcW w:type="dxa" w:w="2381"/>
          </w:tcPr>
          <w:p>
            <w:r/>
            <w:r>
              <w:rPr>
                <w:b/>
                <w:sz w:val="17"/>
              </w:rPr>
              <w:t>Source</w:t>
            </w:r>
          </w:p>
        </w:tc>
        <w:tc>
          <w:tcPr>
            <w:tcW w:type="dxa" w:w="12643"/>
          </w:tcPr>
          <w:p>
            <w:r/>
            <w:r>
              <w:rPr>
                <w:b w:val="0"/>
                <w:sz w:val="18"/>
              </w:rPr>
              <w:t>About Integrated Shield Plan — MOH — (web page) — Last updated 30 Apr 2026</w:t>
            </w:r>
          </w:p>
        </w:tc>
      </w:tr>
      <w:tr>
        <w:tc>
          <w:tcPr>
            <w:tcW w:type="dxa" w:w="2381"/>
          </w:tcPr>
          <w:p>
            <w:r/>
            <w:r>
              <w:rPr>
                <w:b/>
                <w:sz w:val="17"/>
              </w:rPr>
              <w:t>Clause / section</w:t>
            </w:r>
          </w:p>
        </w:tc>
        <w:tc>
          <w:tcPr>
            <w:tcW w:type="dxa" w:w="12643"/>
          </w:tcPr>
          <w:p>
            <w:r/>
            <w:r>
              <w:rPr>
                <w:b w:val="0"/>
                <w:sz w:val="18"/>
              </w:rPr>
              <w:t>(no specific clause – rule absent)</w:t>
            </w:r>
          </w:p>
        </w:tc>
      </w:tr>
      <w:tr>
        <w:tc>
          <w:tcPr>
            <w:tcW w:type="dxa" w:w="2381"/>
          </w:tcPr>
          <w:p>
            <w:r/>
            <w:r>
              <w:rPr>
                <w:b/>
                <w:sz w:val="17"/>
              </w:rPr>
              <w:t>URL</w:t>
            </w:r>
          </w:p>
        </w:tc>
        <w:tc>
          <w:tcPr>
            <w:tcW w:type="dxa" w:w="12643"/>
          </w:tcPr>
          <w:p>
            <w:r/>
            <w:r>
              <w:rPr>
                <w:b w:val="0"/>
                <w:sz w:val="18"/>
              </w:rPr>
              <w:t>https://www.moh.gov.sg/managing-expenses/schemes-and-subsidies/integrated-shield-plans/about-integrated-shield-plans/</w:t>
            </w:r>
          </w:p>
        </w:tc>
      </w:tr>
      <w:tr>
        <w:tc>
          <w:tcPr>
            <w:tcW w:type="dxa" w:w="2381"/>
            <w:shd w:val="clear" w:color="auto" w:fill="FCE4D6"/>
          </w:tcPr>
          <w:p>
            <w:r/>
            <w:r>
              <w:rPr>
                <w:b/>
                <w:sz w:val="17"/>
              </w:rPr>
              <w:t>Verification</w:t>
            </w:r>
          </w:p>
        </w:tc>
        <w:tc>
          <w:tcPr>
            <w:tcW w:type="dxa" w:w="12643"/>
            <w:shd w:val="clear" w:color="auto" w:fill="FCE4D6"/>
          </w:tcPr>
          <w:p>
            <w:r/>
            <w:r>
              <w:rPr>
                <w:b w:val="0"/>
                <w:sz w:val="18"/>
              </w:rPr>
              <w:t>UNVERIFIED – see note — Statement that IP pro-ration is insurer-determined comes only from insurer product documents found in search, not an official regulator source. Treat as unverified.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SG-IP-03</w:t>
            </w:r>
          </w:p>
        </w:tc>
        <w:tc>
          <w:tcPr>
            <w:tcW w:type="dxa" w:w="12643"/>
            <w:shd w:val="clear" w:color="auto" w:fill="D9E2F3"/>
          </w:tcPr>
          <w:p>
            <w:r/>
            <w:r>
              <w:rPr>
                <w:b/>
                <w:sz w:val="18"/>
              </w:rPr>
              <w:t>IP – panel and pre-authorisation</w:t>
            </w:r>
          </w:p>
        </w:tc>
      </w:tr>
      <w:tr>
        <w:tc>
          <w:tcPr>
            <w:tcW w:type="dxa" w:w="2381"/>
          </w:tcPr>
          <w:p>
            <w:r/>
            <w:r>
              <w:rPr>
                <w:b/>
                <w:sz w:val="17"/>
              </w:rPr>
              <w:t>Rule</w:t>
            </w:r>
          </w:p>
        </w:tc>
        <w:tc>
          <w:tcPr>
            <w:tcW w:type="dxa" w:w="12643"/>
          </w:tcPr>
          <w:p>
            <w:r/>
            <w:r>
              <w:rPr>
                <w:b w:val="0"/>
                <w:sz w:val="18"/>
              </w:rPr>
              <w:t>IP insurers maintain main panels of providers; policyholders using panel providers can enjoy pre-authorisation of claims and lower co-payment. The industry Extended Panel framework lets policyholders enjoy key panel benefits with selected non-main-panel specialists.</w:t>
            </w:r>
          </w:p>
        </w:tc>
      </w:tr>
      <w:tr>
        <w:tc>
          <w:tcPr>
            <w:tcW w:type="dxa" w:w="2381"/>
          </w:tcPr>
          <w:p>
            <w:r/>
            <w:r>
              <w:rPr>
                <w:b/>
                <w:sz w:val="17"/>
              </w:rPr>
              <w:t>Wording test</w:t>
            </w:r>
          </w:p>
        </w:tc>
        <w:tc>
          <w:tcPr>
            <w:tcW w:type="dxa" w:w="12643"/>
          </w:tcPr>
          <w:p>
            <w:r/>
            <w:r>
              <w:rPr>
                <w:b w:val="0"/>
                <w:sz w:val="18"/>
              </w:rPr>
              <w:t>Check the wording defines 'panel', 'extended panel', 'pre-authorisation' and states the consequence of non-panel/non-pre-authorised treatment (e.g., uncapped co-payment, different deductible). FAIL if consequences are only in a website and not in the contract or product summary.</w:t>
            </w:r>
          </w:p>
        </w:tc>
      </w:tr>
      <w:tr>
        <w:tc>
          <w:tcPr>
            <w:tcW w:type="dxa" w:w="2381"/>
          </w:tcPr>
          <w:p>
            <w:r/>
            <w:r>
              <w:rPr>
                <w:b/>
                <w:sz w:val="17"/>
              </w:rPr>
              <w:t>Source</w:t>
            </w:r>
          </w:p>
        </w:tc>
        <w:tc>
          <w:tcPr>
            <w:tcW w:type="dxa" w:w="12643"/>
          </w:tcPr>
          <w:p>
            <w:r/>
            <w:r>
              <w:rPr>
                <w:b w:val="0"/>
                <w:sz w:val="18"/>
              </w:rPr>
              <w:t>About Integrated Shield Plan — MOH — (web page) — Last updated 30 Apr 2026</w:t>
            </w:r>
          </w:p>
        </w:tc>
      </w:tr>
      <w:tr>
        <w:tc>
          <w:tcPr>
            <w:tcW w:type="dxa" w:w="2381"/>
          </w:tcPr>
          <w:p>
            <w:r/>
            <w:r>
              <w:rPr>
                <w:b/>
                <w:sz w:val="17"/>
              </w:rPr>
              <w:t>Clause / section</w:t>
            </w:r>
          </w:p>
        </w:tc>
        <w:tc>
          <w:tcPr>
            <w:tcW w:type="dxa" w:w="12643"/>
          </w:tcPr>
          <w:p>
            <w:r/>
            <w:r>
              <w:rPr>
                <w:b w:val="0"/>
                <w:sz w:val="18"/>
              </w:rPr>
              <w:t>'What are some key statistics on insurers' IP main panels?'</w:t>
            </w:r>
          </w:p>
        </w:tc>
      </w:tr>
      <w:tr>
        <w:tc>
          <w:tcPr>
            <w:tcW w:type="dxa" w:w="2381"/>
          </w:tcPr>
          <w:p>
            <w:r/>
            <w:r>
              <w:rPr>
                <w:b/>
                <w:sz w:val="17"/>
              </w:rPr>
              <w:t>URL</w:t>
            </w:r>
          </w:p>
        </w:tc>
        <w:tc>
          <w:tcPr>
            <w:tcW w:type="dxa" w:w="12643"/>
          </w:tcPr>
          <w:p>
            <w:r/>
            <w:r>
              <w:rPr>
                <w:b w:val="0"/>
                <w:sz w:val="18"/>
              </w:rPr>
              <w:t>https://www.moh.gov.sg/managing-expenses/schemes-and-subsidies/integrated-shield-plans/about-integrated-shield-plans/</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SG-IP-04</w:t>
            </w:r>
          </w:p>
        </w:tc>
        <w:tc>
          <w:tcPr>
            <w:tcW w:type="dxa" w:w="12643"/>
            <w:shd w:val="clear" w:color="auto" w:fill="D9E2F3"/>
          </w:tcPr>
          <w:p>
            <w:r/>
            <w:r>
              <w:rPr>
                <w:b/>
                <w:sz w:val="18"/>
              </w:rPr>
              <w:t>IP &amp; riders – outpatient cancer drugs</w:t>
            </w:r>
          </w:p>
        </w:tc>
      </w:tr>
      <w:tr>
        <w:tc>
          <w:tcPr>
            <w:tcW w:type="dxa" w:w="2381"/>
          </w:tcPr>
          <w:p>
            <w:r/>
            <w:r>
              <w:rPr>
                <w:b/>
                <w:sz w:val="17"/>
              </w:rPr>
              <w:t>Rule</w:t>
            </w:r>
          </w:p>
        </w:tc>
        <w:tc>
          <w:tcPr>
            <w:tcW w:type="dxa" w:w="12643"/>
          </w:tcPr>
          <w:p>
            <w:r/>
            <w:r>
              <w:rPr>
                <w:b w:val="0"/>
                <w:sz w:val="18"/>
              </w:rPr>
              <w:t>From 1 Apr 2023 (on IP renewal or application), IPs cover outpatient cancer drug treatments only if on the Cancer Drug List (limits set by insurers). Non-CDL treatments are not eligible for MediShield Life, MediSave or IP claims; riders may cover selected treatments beyond the CDL.</w:t>
            </w:r>
          </w:p>
        </w:tc>
      </w:tr>
      <w:tr>
        <w:tc>
          <w:tcPr>
            <w:tcW w:type="dxa" w:w="2381"/>
          </w:tcPr>
          <w:p>
            <w:r/>
            <w:r>
              <w:rPr>
                <w:b/>
                <w:sz w:val="17"/>
              </w:rPr>
              <w:t>Wording test</w:t>
            </w:r>
          </w:p>
        </w:tc>
        <w:tc>
          <w:tcPr>
            <w:tcW w:type="dxa" w:w="12643"/>
          </w:tcPr>
          <w:p>
            <w:r/>
            <w:r>
              <w:rPr>
                <w:b w:val="0"/>
                <w:sz w:val="18"/>
              </w:rPr>
              <w:t>Check the IP outpatient cancer drug benefit references the CDL and states insurer limits; check riders' non-CDL cover is clearly described. FAIL if IP (not rider) promises non-CDL coverage inconsistent with MOH policy (raise as query).</w:t>
            </w:r>
          </w:p>
        </w:tc>
      </w:tr>
      <w:tr>
        <w:tc>
          <w:tcPr>
            <w:tcW w:type="dxa" w:w="2381"/>
          </w:tcPr>
          <w:p>
            <w:r/>
            <w:r>
              <w:rPr>
                <w:b/>
                <w:sz w:val="17"/>
              </w:rPr>
              <w:t>Source</w:t>
            </w:r>
          </w:p>
        </w:tc>
        <w:tc>
          <w:tcPr>
            <w:tcW w:type="dxa" w:w="12643"/>
          </w:tcPr>
          <w:p>
            <w:r/>
            <w:r>
              <w:rPr>
                <w:b w:val="0"/>
                <w:sz w:val="18"/>
              </w:rPr>
              <w:t>FAQs on cancer treatment financing — MOH — (web page) — Last updated 19 Mar 2025</w:t>
            </w:r>
          </w:p>
        </w:tc>
      </w:tr>
      <w:tr>
        <w:tc>
          <w:tcPr>
            <w:tcW w:type="dxa" w:w="2381"/>
          </w:tcPr>
          <w:p>
            <w:r/>
            <w:r>
              <w:rPr>
                <w:b/>
                <w:sz w:val="17"/>
              </w:rPr>
              <w:t>Clause / section</w:t>
            </w:r>
          </w:p>
        </w:tc>
        <w:tc>
          <w:tcPr>
            <w:tcW w:type="dxa" w:w="12643"/>
          </w:tcPr>
          <w:p>
            <w:r/>
            <w:r>
              <w:rPr>
                <w:b w:val="0"/>
                <w:sz w:val="18"/>
              </w:rPr>
              <w:t>FAQ answers on CDL and IPs; 'IP riders may also cover selected treatments beyond the CDL'</w:t>
            </w:r>
          </w:p>
        </w:tc>
      </w:tr>
      <w:tr>
        <w:tc>
          <w:tcPr>
            <w:tcW w:type="dxa" w:w="2381"/>
          </w:tcPr>
          <w:p>
            <w:r/>
            <w:r>
              <w:rPr>
                <w:b/>
                <w:sz w:val="17"/>
              </w:rPr>
              <w:t>URL</w:t>
            </w:r>
          </w:p>
        </w:tc>
        <w:tc>
          <w:tcPr>
            <w:tcW w:type="dxa" w:w="12643"/>
          </w:tcPr>
          <w:p>
            <w:r/>
            <w:r>
              <w:rPr>
                <w:b w:val="0"/>
                <w:sz w:val="18"/>
              </w:rPr>
              <w:t>https://www.moh.gov.sg/managing-expenses/schemes-and-subsidies/medishield-life/faqs-on-cancer-treatment-financing/</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SG-RID-01</w:t>
            </w:r>
          </w:p>
        </w:tc>
        <w:tc>
          <w:tcPr>
            <w:tcW w:type="dxa" w:w="12643"/>
            <w:shd w:val="clear" w:color="auto" w:fill="D9E2F3"/>
          </w:tcPr>
          <w:p>
            <w:r/>
            <w:r>
              <w:rPr>
                <w:b/>
                <w:sz w:val="18"/>
              </w:rPr>
              <w:t>IP riders sold from 1 Apr 2019</w:t>
            </w:r>
          </w:p>
        </w:tc>
      </w:tr>
      <w:tr>
        <w:tc>
          <w:tcPr>
            <w:tcW w:type="dxa" w:w="2381"/>
          </w:tcPr>
          <w:p>
            <w:r/>
            <w:r>
              <w:rPr>
                <w:b/>
                <w:sz w:val="17"/>
              </w:rPr>
              <w:t>Rule</w:t>
            </w:r>
          </w:p>
        </w:tc>
        <w:tc>
          <w:tcPr>
            <w:tcW w:type="dxa" w:w="12643"/>
          </w:tcPr>
          <w:p>
            <w:r/>
            <w:r>
              <w:rPr>
                <w:b w:val="0"/>
                <w:sz w:val="18"/>
              </w:rPr>
              <w:t>New IP riders sold from 1 Apr 2019 must include a minimum 5% co-payment. Riders sold between 8 Mar 2018 and 31 Mar 2019 had to transition to compliant co-payment riders by 1 Apr 2021. The requirement was not mandated for riders bought before 8 Mar 2018 (insurers may add co-payment if their contract allows, with ≥30 days' notice).</w:t>
            </w:r>
          </w:p>
        </w:tc>
      </w:tr>
      <w:tr>
        <w:tc>
          <w:tcPr>
            <w:tcW w:type="dxa" w:w="2381"/>
          </w:tcPr>
          <w:p>
            <w:r/>
            <w:r>
              <w:rPr>
                <w:b/>
                <w:sz w:val="17"/>
              </w:rPr>
              <w:t>Wording test</w:t>
            </w:r>
          </w:p>
        </w:tc>
        <w:tc>
          <w:tcPr>
            <w:tcW w:type="dxa" w:w="12643"/>
          </w:tcPr>
          <w:p>
            <w:r/>
            <w:r>
              <w:rPr>
                <w:b w:val="0"/>
                <w:sz w:val="18"/>
              </w:rPr>
              <w:t>Check the rider's co-payment: ≥ 5% of the claimable amount (after IP payout) for riders bought on/after 8 Mar 2018. FAIL if the rider covers 100% of co-insurance with no co-payment (unless a pre-8 Mar 2018 legacy rider).</w:t>
            </w:r>
          </w:p>
        </w:tc>
      </w:tr>
      <w:tr>
        <w:tc>
          <w:tcPr>
            <w:tcW w:type="dxa" w:w="2381"/>
          </w:tcPr>
          <w:p>
            <w:r/>
            <w:r>
              <w:rPr>
                <w:b/>
                <w:sz w:val="17"/>
              </w:rPr>
              <w:t>Source</w:t>
            </w:r>
          </w:p>
        </w:tc>
        <w:tc>
          <w:tcPr>
            <w:tcW w:type="dxa" w:w="12643"/>
          </w:tcPr>
          <w:p>
            <w:r/>
            <w:r>
              <w:rPr>
                <w:b w:val="0"/>
                <w:sz w:val="18"/>
              </w:rPr>
              <w:t>Co-payment in Integrated Shield Plans for Specific Hospital Categories and Breakdown of Average Claims Made Through Full Riders (Parliamentary written answer, PQ Nos. 510, 515, 516) — MOH — PQ Nos. 510, 515, 516 — 26 Feb 2021</w:t>
            </w:r>
          </w:p>
        </w:tc>
      </w:tr>
      <w:tr>
        <w:tc>
          <w:tcPr>
            <w:tcW w:type="dxa" w:w="2381"/>
          </w:tcPr>
          <w:p>
            <w:r/>
            <w:r>
              <w:rPr>
                <w:b/>
                <w:sz w:val="17"/>
              </w:rPr>
              <w:t>Clause / section</w:t>
            </w:r>
          </w:p>
        </w:tc>
        <w:tc>
          <w:tcPr>
            <w:tcW w:type="dxa" w:w="12643"/>
          </w:tcPr>
          <w:p>
            <w:r/>
            <w:r>
              <w:rPr>
                <w:b w:val="0"/>
                <w:sz w:val="18"/>
              </w:rPr>
              <w:t>Answer to PQ Nos. 510/515/516, paras 3-4</w:t>
            </w:r>
          </w:p>
        </w:tc>
      </w:tr>
      <w:tr>
        <w:tc>
          <w:tcPr>
            <w:tcW w:type="dxa" w:w="2381"/>
          </w:tcPr>
          <w:p>
            <w:r/>
            <w:r>
              <w:rPr>
                <w:b/>
                <w:sz w:val="17"/>
              </w:rPr>
              <w:t>URL</w:t>
            </w:r>
          </w:p>
        </w:tc>
        <w:tc>
          <w:tcPr>
            <w:tcW w:type="dxa" w:w="12643"/>
          </w:tcPr>
          <w:p>
            <w:r/>
            <w:r>
              <w:rPr>
                <w:b w:val="0"/>
                <w:sz w:val="18"/>
              </w:rPr>
              <w:t>https://www.moh.gov.sg/newsroom/co-payment-in-integrated-shield-plans-for-specific-hospital-categories-and-breakdown-of-average-claims-made-through-full-riders-of-integrated-shield-plans/</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SG-RID-02</w:t>
            </w:r>
          </w:p>
        </w:tc>
        <w:tc>
          <w:tcPr>
            <w:tcW w:type="dxa" w:w="12643"/>
            <w:shd w:val="clear" w:color="auto" w:fill="D9E2F3"/>
          </w:tcPr>
          <w:p>
            <w:r/>
            <w:r>
              <w:rPr>
                <w:b/>
                <w:sz w:val="18"/>
              </w:rPr>
              <w:t>IP riders (2018–Mar 2026 design)</w:t>
            </w:r>
          </w:p>
        </w:tc>
      </w:tr>
      <w:tr>
        <w:tc>
          <w:tcPr>
            <w:tcW w:type="dxa" w:w="2381"/>
          </w:tcPr>
          <w:p>
            <w:r/>
            <w:r>
              <w:rPr>
                <w:b/>
                <w:sz w:val="17"/>
              </w:rPr>
              <w:t>Rule</w:t>
            </w:r>
          </w:p>
        </w:tc>
        <w:tc>
          <w:tcPr>
            <w:tcW w:type="dxa" w:w="12643"/>
          </w:tcPr>
          <w:p>
            <w:r/>
            <w:r>
              <w:rPr>
                <w:b w:val="0"/>
                <w:sz w:val="18"/>
              </w:rPr>
              <w:t>The co-payment cap under riders was set in 2018 at a minimum of $3,000 per year (i.e., insurers may cap a policyholder's annual co-payment, but the cap may not be below $3,000).</w:t>
            </w:r>
          </w:p>
        </w:tc>
      </w:tr>
      <w:tr>
        <w:tc>
          <w:tcPr>
            <w:tcW w:type="dxa" w:w="2381"/>
          </w:tcPr>
          <w:p>
            <w:r/>
            <w:r>
              <w:rPr>
                <w:b/>
                <w:sz w:val="17"/>
              </w:rPr>
              <w:t>Wording test</w:t>
            </w:r>
          </w:p>
        </w:tc>
        <w:tc>
          <w:tcPr>
            <w:tcW w:type="dxa" w:w="12643"/>
          </w:tcPr>
          <w:p>
            <w:r/>
            <w:r>
              <w:rPr>
                <w:b w:val="0"/>
                <w:sz w:val="18"/>
              </w:rPr>
              <w:t>Check the rider's annual co-payment cap ≥ $3,000 and the conditions for the cap (panel / pre-authorised). FAIL if cap &lt; $3,000 for riders sold 1 Apr 2019–31 Mar 2026.</w:t>
            </w:r>
          </w:p>
        </w:tc>
      </w:tr>
      <w:tr>
        <w:tc>
          <w:tcPr>
            <w:tcW w:type="dxa" w:w="2381"/>
          </w:tcPr>
          <w:p>
            <w:r/>
            <w:r>
              <w:rPr>
                <w:b/>
                <w:sz w:val="17"/>
              </w:rPr>
              <w:t>Source</w:t>
            </w:r>
          </w:p>
        </w:tc>
        <w:tc>
          <w:tcPr>
            <w:tcW w:type="dxa" w:w="12643"/>
          </w:tcPr>
          <w:p>
            <w:r/>
            <w:r>
              <w:rPr>
                <w:b w:val="0"/>
                <w:sz w:val="18"/>
              </w:rPr>
              <w:t>New Requirements for Integrated Shield Plan Riders to Strengthen Sustainability of Private Health Insurance and Address Rising Healthcare Costs (press release incl. Annex A) — MOH — (press release) — 26 Nov 2025</w:t>
            </w:r>
          </w:p>
        </w:tc>
      </w:tr>
      <w:tr>
        <w:tc>
          <w:tcPr>
            <w:tcW w:type="dxa" w:w="2381"/>
          </w:tcPr>
          <w:p>
            <w:r/>
            <w:r>
              <w:rPr>
                <w:b/>
                <w:sz w:val="17"/>
              </w:rPr>
              <w:t>Clause / section</w:t>
            </w:r>
          </w:p>
        </w:tc>
        <w:tc>
          <w:tcPr>
            <w:tcW w:type="dxa" w:w="12643"/>
          </w:tcPr>
          <w:p>
            <w:r/>
            <w:r>
              <w:rPr>
                <w:b w:val="0"/>
                <w:sz w:val="18"/>
              </w:rPr>
              <w:t>Para 4(b) ('The co-payment cap, which was set at a minimum of $3,000 per year in 2018')</w:t>
            </w:r>
          </w:p>
        </w:tc>
      </w:tr>
      <w:tr>
        <w:tc>
          <w:tcPr>
            <w:tcW w:type="dxa" w:w="2381"/>
          </w:tcPr>
          <w:p>
            <w:r/>
            <w:r>
              <w:rPr>
                <w:b/>
                <w:sz w:val="17"/>
              </w:rPr>
              <w:t>URL</w:t>
            </w:r>
          </w:p>
        </w:tc>
        <w:tc>
          <w:tcPr>
            <w:tcW w:type="dxa" w:w="12643"/>
          </w:tcPr>
          <w:p>
            <w:r/>
            <w:r>
              <w:rPr>
                <w:b w:val="0"/>
                <w:sz w:val="18"/>
              </w:rPr>
              <w:t>https://www.moh.gov.sg/newsroom/new-requirements-for-integrated-shield-plan-riders-to-strengthen-sustainability-of-private-health-insurance-and-address-rising-healthcare-costs/</w:t>
            </w:r>
          </w:p>
        </w:tc>
      </w:tr>
      <w:tr>
        <w:tc>
          <w:tcPr>
            <w:tcW w:type="dxa" w:w="2381"/>
            <w:shd w:val="clear" w:color="auto" w:fill="FFF2CC"/>
          </w:tcPr>
          <w:p>
            <w:r/>
            <w:r>
              <w:rPr>
                <w:b/>
                <w:sz w:val="17"/>
              </w:rPr>
              <w:t>Verification</w:t>
            </w:r>
          </w:p>
        </w:tc>
        <w:tc>
          <w:tcPr>
            <w:tcW w:type="dxa" w:w="12643"/>
            <w:shd w:val="clear" w:color="auto" w:fill="FFF2CC"/>
          </w:tcPr>
          <w:p>
            <w:r/>
            <w:r>
              <w:rPr>
                <w:b w:val="0"/>
                <w:sz w:val="18"/>
              </w:rPr>
              <w:t>Partially verified – see note — Minimum $3,000 is confirmed by MOH (Nov 2025). Whether the 2018 cap was REQUIRED to be conditional on panel/pre-authorised treatment was not confirmed from a 2018 primary source; MOH's 2021 PQ answer says 'some insurers' introduced caps for panel/pre-authorised treatment.</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SG-RID-03</w:t>
            </w:r>
          </w:p>
        </w:tc>
        <w:tc>
          <w:tcPr>
            <w:tcW w:type="dxa" w:w="12643"/>
            <w:shd w:val="clear" w:color="auto" w:fill="D9E2F3"/>
          </w:tcPr>
          <w:p>
            <w:r/>
            <w:r>
              <w:rPr>
                <w:b/>
                <w:sz w:val="18"/>
              </w:rPr>
              <w:t>IP riders sold from 1 Apr 2026</w:t>
            </w:r>
          </w:p>
        </w:tc>
      </w:tr>
      <w:tr>
        <w:tc>
          <w:tcPr>
            <w:tcW w:type="dxa" w:w="2381"/>
          </w:tcPr>
          <w:p>
            <w:r/>
            <w:r>
              <w:rPr>
                <w:b/>
                <w:sz w:val="17"/>
              </w:rPr>
              <w:t>Rule</w:t>
            </w:r>
          </w:p>
        </w:tc>
        <w:tc>
          <w:tcPr>
            <w:tcW w:type="dxa" w:w="12643"/>
          </w:tcPr>
          <w:p>
            <w:r/>
            <w:r>
              <w:rPr>
                <w:b w:val="0"/>
                <w:sz w:val="18"/>
              </w:rPr>
              <w:t>New IP riders sold from 1 Apr 2026 may NOT cover the minimum IP deductible set by MOH.</w:t>
            </w:r>
          </w:p>
        </w:tc>
      </w:tr>
      <w:tr>
        <w:tc>
          <w:tcPr>
            <w:tcW w:type="dxa" w:w="2381"/>
          </w:tcPr>
          <w:p>
            <w:r/>
            <w:r>
              <w:rPr>
                <w:b/>
                <w:sz w:val="17"/>
              </w:rPr>
              <w:t>Wording test</w:t>
            </w:r>
          </w:p>
        </w:tc>
        <w:tc>
          <w:tcPr>
            <w:tcW w:type="dxa" w:w="12643"/>
          </w:tcPr>
          <w:p>
            <w:r/>
            <w:r>
              <w:rPr>
                <w:b w:val="0"/>
                <w:sz w:val="18"/>
              </w:rPr>
              <w:t>Check the rider benefit clause: FAIL if it pays any part of the IP deductible (up to the MOH minimum IP deductible) for riders purchased on/after 1 Apr 2026 (and for riders bought 27 Nov 2025–31 Mar 2026 after their transition renewal – SG-RID-06).</w:t>
            </w:r>
          </w:p>
        </w:tc>
      </w:tr>
      <w:tr>
        <w:tc>
          <w:tcPr>
            <w:tcW w:type="dxa" w:w="2381"/>
          </w:tcPr>
          <w:p>
            <w:r/>
            <w:r>
              <w:rPr>
                <w:b/>
                <w:sz w:val="17"/>
              </w:rPr>
              <w:t>Source</w:t>
            </w:r>
          </w:p>
        </w:tc>
        <w:tc>
          <w:tcPr>
            <w:tcW w:type="dxa" w:w="12643"/>
          </w:tcPr>
          <w:p>
            <w:r/>
            <w:r>
              <w:rPr>
                <w:b w:val="0"/>
                <w:sz w:val="18"/>
              </w:rPr>
              <w:t>New Requirements for Integrated Shield Plan Riders to Strengthen Sustainability of Private Health Insurance and Address Rising Healthcare Costs (press release incl. Annex A) — MOH — (press release) — 26 Nov 2025</w:t>
            </w:r>
          </w:p>
        </w:tc>
      </w:tr>
      <w:tr>
        <w:tc>
          <w:tcPr>
            <w:tcW w:type="dxa" w:w="2381"/>
          </w:tcPr>
          <w:p>
            <w:r/>
            <w:r>
              <w:rPr>
                <w:b/>
                <w:sz w:val="17"/>
              </w:rPr>
              <w:t>Clause / section</w:t>
            </w:r>
          </w:p>
        </w:tc>
        <w:tc>
          <w:tcPr>
            <w:tcW w:type="dxa" w:w="12643"/>
          </w:tcPr>
          <w:p>
            <w:r/>
            <w:r>
              <w:rPr>
                <w:b w:val="0"/>
                <w:sz w:val="18"/>
              </w:rPr>
              <w:t>Paras 2 and 4(a)</w:t>
            </w:r>
          </w:p>
        </w:tc>
      </w:tr>
      <w:tr>
        <w:tc>
          <w:tcPr>
            <w:tcW w:type="dxa" w:w="2381"/>
          </w:tcPr>
          <w:p>
            <w:r/>
            <w:r>
              <w:rPr>
                <w:b/>
                <w:sz w:val="17"/>
              </w:rPr>
              <w:t>URL</w:t>
            </w:r>
          </w:p>
        </w:tc>
        <w:tc>
          <w:tcPr>
            <w:tcW w:type="dxa" w:w="12643"/>
          </w:tcPr>
          <w:p>
            <w:r/>
            <w:r>
              <w:rPr>
                <w:b w:val="0"/>
                <w:sz w:val="18"/>
              </w:rPr>
              <w:t>https://www.moh.gov.sg/newsroom/new-requirements-for-integrated-shield-plan-riders-to-strengthen-sustainability-of-private-health-insurance-and-address-rising-healthcare-costs/</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SG-RID-04</w:t>
            </w:r>
          </w:p>
        </w:tc>
        <w:tc>
          <w:tcPr>
            <w:tcW w:type="dxa" w:w="12643"/>
            <w:shd w:val="clear" w:color="auto" w:fill="D9E2F3"/>
          </w:tcPr>
          <w:p>
            <w:r/>
            <w:r>
              <w:rPr>
                <w:b/>
                <w:sz w:val="18"/>
              </w:rPr>
              <w:t>IP riders sold from 1 Apr 2026</w:t>
            </w:r>
          </w:p>
        </w:tc>
      </w:tr>
      <w:tr>
        <w:tc>
          <w:tcPr>
            <w:tcW w:type="dxa" w:w="2381"/>
          </w:tcPr>
          <w:p>
            <w:r/>
            <w:r>
              <w:rPr>
                <w:b/>
                <w:sz w:val="17"/>
              </w:rPr>
              <w:t>Rule</w:t>
            </w:r>
          </w:p>
        </w:tc>
        <w:tc>
          <w:tcPr>
            <w:tcW w:type="dxa" w:w="12643"/>
          </w:tcPr>
          <w:p>
            <w:r/>
            <w:r>
              <w:rPr>
                <w:b w:val="0"/>
                <w:sz w:val="18"/>
              </w:rPr>
              <w:t>Co-payment cap raised to a minimum of $6,000 per year, applied to co-payments EXCLUDING the minimum IP deductible. The cap only applies to eligible claims such as panel or pre-authorised claims. Minimum 5% co-payment unchanged. Deductible and co-payment can be paid with MediSave subject to withdrawal limits.</w:t>
            </w:r>
          </w:p>
        </w:tc>
      </w:tr>
      <w:tr>
        <w:tc>
          <w:tcPr>
            <w:tcW w:type="dxa" w:w="2381"/>
          </w:tcPr>
          <w:p>
            <w:r/>
            <w:r>
              <w:rPr>
                <w:b/>
                <w:sz w:val="17"/>
              </w:rPr>
              <w:t>Wording test</w:t>
            </w:r>
          </w:p>
        </w:tc>
        <w:tc>
          <w:tcPr>
            <w:tcW w:type="dxa" w:w="12643"/>
          </w:tcPr>
          <w:p>
            <w:r/>
            <w:r>
              <w:rPr>
                <w:b w:val="0"/>
                <w:sz w:val="18"/>
              </w:rPr>
              <w:t>Check: (i) co-payment ≥5%; (ii) annual cap ≥ $6,000; (iii) cap excludes the deductible; (iv) eligibility conditions for the cap (panel/pre-auth) are stated in the contract. FAIL if cap &lt; $6,000 or if the cap includes the deductible.</w:t>
            </w:r>
          </w:p>
        </w:tc>
      </w:tr>
      <w:tr>
        <w:tc>
          <w:tcPr>
            <w:tcW w:type="dxa" w:w="2381"/>
          </w:tcPr>
          <w:p>
            <w:r/>
            <w:r>
              <w:rPr>
                <w:b/>
                <w:sz w:val="17"/>
              </w:rPr>
              <w:t>Source</w:t>
            </w:r>
          </w:p>
        </w:tc>
        <w:tc>
          <w:tcPr>
            <w:tcW w:type="dxa" w:w="12643"/>
          </w:tcPr>
          <w:p>
            <w:r/>
            <w:r>
              <w:rPr>
                <w:b w:val="0"/>
                <w:sz w:val="18"/>
              </w:rPr>
              <w:t>New Requirements for Integrated Shield Plan Riders to Strengthen Sustainability of Private Health Insurance and Address Rising Healthcare Costs (press release incl. Annex A) — MOH — (press release) — 26 Nov 2025</w:t>
            </w:r>
          </w:p>
        </w:tc>
      </w:tr>
      <w:tr>
        <w:tc>
          <w:tcPr>
            <w:tcW w:type="dxa" w:w="2381"/>
          </w:tcPr>
          <w:p>
            <w:r/>
            <w:r>
              <w:rPr>
                <w:b/>
                <w:sz w:val="17"/>
              </w:rPr>
              <w:t>Clause / section</w:t>
            </w:r>
          </w:p>
        </w:tc>
        <w:tc>
          <w:tcPr>
            <w:tcW w:type="dxa" w:w="12643"/>
          </w:tcPr>
          <w:p>
            <w:r/>
            <w:r>
              <w:rPr>
                <w:b w:val="0"/>
                <w:sz w:val="18"/>
              </w:rPr>
              <w:t>Para 4(b); Annex A Figure 1 footnote</w:t>
            </w:r>
          </w:p>
        </w:tc>
      </w:tr>
      <w:tr>
        <w:tc>
          <w:tcPr>
            <w:tcW w:type="dxa" w:w="2381"/>
          </w:tcPr>
          <w:p>
            <w:r/>
            <w:r>
              <w:rPr>
                <w:b/>
                <w:sz w:val="17"/>
              </w:rPr>
              <w:t>URL</w:t>
            </w:r>
          </w:p>
        </w:tc>
        <w:tc>
          <w:tcPr>
            <w:tcW w:type="dxa" w:w="12643"/>
          </w:tcPr>
          <w:p>
            <w:r/>
            <w:r>
              <w:rPr>
                <w:b w:val="0"/>
                <w:sz w:val="18"/>
              </w:rPr>
              <w:t>https://www.moh.gov.sg/newsroom/new-requirements-for-integrated-shield-plan-riders-to-strengthen-sustainability-of-private-health-insurance-and-address-rising-healthcare-costs/</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SG-RID-05</w:t>
            </w:r>
          </w:p>
        </w:tc>
        <w:tc>
          <w:tcPr>
            <w:tcW w:type="dxa" w:w="12643"/>
            <w:shd w:val="clear" w:color="auto" w:fill="D9E2F3"/>
          </w:tcPr>
          <w:p>
            <w:r/>
            <w:r>
              <w:rPr>
                <w:b/>
                <w:sz w:val="18"/>
              </w:rPr>
              <w:t>IPs (all) – minimum deductible</w:t>
            </w:r>
          </w:p>
        </w:tc>
      </w:tr>
      <w:tr>
        <w:tc>
          <w:tcPr>
            <w:tcW w:type="dxa" w:w="2381"/>
          </w:tcPr>
          <w:p>
            <w:r/>
            <w:r>
              <w:rPr>
                <w:b/>
                <w:sz w:val="17"/>
              </w:rPr>
              <w:t>Rule</w:t>
            </w:r>
          </w:p>
        </w:tc>
        <w:tc>
          <w:tcPr>
            <w:tcW w:type="dxa" w:w="12643"/>
          </w:tcPr>
          <w:p>
            <w:r/>
            <w:r>
              <w:rPr>
                <w:b w:val="0"/>
                <w:sz w:val="18"/>
              </w:rPr>
              <w:t>MOH sets a minimum IP deductible per policy year (as at Nov 2025): Class A/Private $3,500; Class B1 $2,500; Class B2 $2,000; Class C $1,500. The required minimum is the LOWER of the amount for (i) the IP's targeted coverage and (ii) the ward class actually used (e.g., a B1-targeted IP: $2,500 if B1/A/private used, $2,000 if B2, $1,500 if C). MOH may update these.</w:t>
            </w:r>
          </w:p>
        </w:tc>
      </w:tr>
      <w:tr>
        <w:tc>
          <w:tcPr>
            <w:tcW w:type="dxa" w:w="2381"/>
          </w:tcPr>
          <w:p>
            <w:r/>
            <w:r>
              <w:rPr>
                <w:b/>
                <w:sz w:val="17"/>
              </w:rPr>
              <w:t>Wording test</w:t>
            </w:r>
          </w:p>
        </w:tc>
        <w:tc>
          <w:tcPr>
            <w:tcW w:type="dxa" w:w="12643"/>
          </w:tcPr>
          <w:p>
            <w:r/>
            <w:r>
              <w:rPr>
                <w:b w:val="0"/>
                <w:sz w:val="18"/>
              </w:rPr>
              <w:t>Check the IP's deductible table by ward class is ≥ these minimums using the 'lower of target coverage or ward utilised' logic.</w:t>
            </w:r>
          </w:p>
        </w:tc>
      </w:tr>
      <w:tr>
        <w:tc>
          <w:tcPr>
            <w:tcW w:type="dxa" w:w="2381"/>
          </w:tcPr>
          <w:p>
            <w:r/>
            <w:r>
              <w:rPr>
                <w:b/>
                <w:sz w:val="17"/>
              </w:rPr>
              <w:t>Source</w:t>
            </w:r>
          </w:p>
        </w:tc>
        <w:tc>
          <w:tcPr>
            <w:tcW w:type="dxa" w:w="12643"/>
          </w:tcPr>
          <w:p>
            <w:r/>
            <w:r>
              <w:rPr>
                <w:b w:val="0"/>
                <w:sz w:val="18"/>
              </w:rPr>
              <w:t>New Requirements for Integrated Shield Plan Riders to Strengthen Sustainability of Private Health Insurance and Address Rising Healthcare Costs (press release incl. Annex A) — MOH — (press release) — 26 Nov 2025</w:t>
            </w:r>
          </w:p>
        </w:tc>
      </w:tr>
      <w:tr>
        <w:tc>
          <w:tcPr>
            <w:tcW w:type="dxa" w:w="2381"/>
          </w:tcPr>
          <w:p>
            <w:r/>
            <w:r>
              <w:rPr>
                <w:b/>
                <w:sz w:val="17"/>
              </w:rPr>
              <w:t>Clause / section</w:t>
            </w:r>
          </w:p>
        </w:tc>
        <w:tc>
          <w:tcPr>
            <w:tcW w:type="dxa" w:w="12643"/>
          </w:tcPr>
          <w:p>
            <w:r/>
            <w:r>
              <w:rPr>
                <w:b w:val="0"/>
                <w:sz w:val="18"/>
              </w:rPr>
              <w:t>Para 4(a) footnote 1; Annex A Table 1 and explanatory note</w:t>
            </w:r>
          </w:p>
        </w:tc>
      </w:tr>
      <w:tr>
        <w:tc>
          <w:tcPr>
            <w:tcW w:type="dxa" w:w="2381"/>
          </w:tcPr>
          <w:p>
            <w:r/>
            <w:r>
              <w:rPr>
                <w:b/>
                <w:sz w:val="17"/>
              </w:rPr>
              <w:t>URL</w:t>
            </w:r>
          </w:p>
        </w:tc>
        <w:tc>
          <w:tcPr>
            <w:tcW w:type="dxa" w:w="12643"/>
          </w:tcPr>
          <w:p>
            <w:r/>
            <w:r>
              <w:rPr>
                <w:b w:val="0"/>
                <w:sz w:val="18"/>
              </w:rPr>
              <w:t>https://www.moh.gov.sg/newsroom/new-requirements-for-integrated-shield-plan-riders-to-strengthen-sustainability-of-private-health-insurance-and-address-rising-healthcare-costs/</w:t>
            </w:r>
          </w:p>
        </w:tc>
      </w:tr>
      <w:tr>
        <w:tc>
          <w:tcPr>
            <w:tcW w:type="dxa" w:w="2381"/>
          </w:tcPr>
          <w:p>
            <w:r/>
            <w:r>
              <w:rPr>
                <w:b/>
                <w:sz w:val="17"/>
              </w:rPr>
              <w:t>Verification</w:t>
            </w:r>
          </w:p>
        </w:tc>
        <w:tc>
          <w:tcPr>
            <w:tcW w:type="dxa" w:w="12643"/>
          </w:tcPr>
          <w:p>
            <w:r/>
            <w:r>
              <w:rPr>
                <w:b w:val="0"/>
                <w:sz w:val="18"/>
              </w:rPr>
              <w:t>Verified – official MOH/CPF/SDIC web page or press release read — Table 1 rendering on the MOH page was partially garbled; B2 ($2,000) and C ($1,500) values were taken from MOH's worked explanation directly below the table.</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SG-RID-06</w:t>
            </w:r>
          </w:p>
        </w:tc>
        <w:tc>
          <w:tcPr>
            <w:tcW w:type="dxa" w:w="12643"/>
            <w:shd w:val="clear" w:color="auto" w:fill="D9E2F3"/>
          </w:tcPr>
          <w:p>
            <w:r/>
            <w:r>
              <w:rPr>
                <w:b/>
                <w:sz w:val="18"/>
              </w:rPr>
              <w:t>IP riders – transition</w:t>
            </w:r>
          </w:p>
        </w:tc>
      </w:tr>
      <w:tr>
        <w:tc>
          <w:tcPr>
            <w:tcW w:type="dxa" w:w="2381"/>
          </w:tcPr>
          <w:p>
            <w:r/>
            <w:r>
              <w:rPr>
                <w:b/>
                <w:sz w:val="17"/>
              </w:rPr>
              <w:t>Rule</w:t>
            </w:r>
          </w:p>
        </w:tc>
        <w:tc>
          <w:tcPr>
            <w:tcW w:type="dxa" w:w="12643"/>
          </w:tcPr>
          <w:p>
            <w:r/>
            <w:r>
              <w:rPr>
                <w:b w:val="0"/>
                <w:sz w:val="18"/>
              </w:rPr>
              <w:t>Insurers had to launch compliant riders by 1 Apr 2026 and stop selling non-compliant riders that day. Purchasers of existing-design riders on/after 27 Nov 2025 must be told they will transition to compliant riders no later than their next renewal after 1 Apr 2028. For riders bought before 27 Nov 2025, insurers decide their own approach.</w:t>
            </w:r>
          </w:p>
        </w:tc>
      </w:tr>
      <w:tr>
        <w:tc>
          <w:tcPr>
            <w:tcW w:type="dxa" w:w="2381"/>
          </w:tcPr>
          <w:p>
            <w:r/>
            <w:r>
              <w:rPr>
                <w:b/>
                <w:sz w:val="17"/>
              </w:rPr>
              <w:t>Wording test</w:t>
            </w:r>
          </w:p>
        </w:tc>
        <w:tc>
          <w:tcPr>
            <w:tcW w:type="dxa" w:w="12643"/>
          </w:tcPr>
          <w:p>
            <w:r/>
            <w:r>
              <w:rPr>
                <w:b w:val="0"/>
                <w:sz w:val="18"/>
              </w:rPr>
              <w:t>For riders issued 27 Nov 2025–31 Mar 2026: check the contract/endorsement/acceptance letter discloses the mandatory transition by first renewal after 1 Apr 2028. For pre-27 Nov 2025 riders: any change must follow Notice 120 para 29 (30-day notice).</w:t>
            </w:r>
          </w:p>
        </w:tc>
      </w:tr>
      <w:tr>
        <w:tc>
          <w:tcPr>
            <w:tcW w:type="dxa" w:w="2381"/>
          </w:tcPr>
          <w:p>
            <w:r/>
            <w:r>
              <w:rPr>
                <w:b/>
                <w:sz w:val="17"/>
              </w:rPr>
              <w:t>Source</w:t>
            </w:r>
          </w:p>
        </w:tc>
        <w:tc>
          <w:tcPr>
            <w:tcW w:type="dxa" w:w="12643"/>
          </w:tcPr>
          <w:p>
            <w:r/>
            <w:r>
              <w:rPr>
                <w:b w:val="0"/>
                <w:sz w:val="18"/>
              </w:rPr>
              <w:t>New Requirements for Integrated Shield Plan Riders to Strengthen Sustainability of Private Health Insurance and Address Rising Healthcare Costs (press release incl. Annex A) — MOH — (press release) — 26 Nov 2025</w:t>
            </w:r>
          </w:p>
        </w:tc>
      </w:tr>
      <w:tr>
        <w:tc>
          <w:tcPr>
            <w:tcW w:type="dxa" w:w="2381"/>
          </w:tcPr>
          <w:p>
            <w:r/>
            <w:r>
              <w:rPr>
                <w:b/>
                <w:sz w:val="17"/>
              </w:rPr>
              <w:t>Clause / section</w:t>
            </w:r>
          </w:p>
        </w:tc>
        <w:tc>
          <w:tcPr>
            <w:tcW w:type="dxa" w:w="12643"/>
          </w:tcPr>
          <w:p>
            <w:r/>
            <w:r>
              <w:rPr>
                <w:b w:val="0"/>
                <w:sz w:val="18"/>
              </w:rPr>
              <w:t>Paras 8-9</w:t>
            </w:r>
          </w:p>
        </w:tc>
      </w:tr>
      <w:tr>
        <w:tc>
          <w:tcPr>
            <w:tcW w:type="dxa" w:w="2381"/>
          </w:tcPr>
          <w:p>
            <w:r/>
            <w:r>
              <w:rPr>
                <w:b/>
                <w:sz w:val="17"/>
              </w:rPr>
              <w:t>URL</w:t>
            </w:r>
          </w:p>
        </w:tc>
        <w:tc>
          <w:tcPr>
            <w:tcW w:type="dxa" w:w="12643"/>
          </w:tcPr>
          <w:p>
            <w:r/>
            <w:r>
              <w:rPr>
                <w:b w:val="0"/>
                <w:sz w:val="18"/>
              </w:rPr>
              <w:t>https://www.moh.gov.sg/newsroom/new-requirements-for-integrated-shield-plan-riders-to-strengthen-sustainability-of-private-health-insurance-and-address-rising-healthcare-costs/</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SG-RID-07</w:t>
            </w:r>
          </w:p>
        </w:tc>
        <w:tc>
          <w:tcPr>
            <w:tcW w:type="dxa" w:w="12643"/>
            <w:shd w:val="clear" w:color="auto" w:fill="D9E2F3"/>
          </w:tcPr>
          <w:p>
            <w:r/>
            <w:r>
              <w:rPr>
                <w:b/>
                <w:sz w:val="18"/>
              </w:rPr>
              <w:t>Changes to existing IP/rider terms</w:t>
            </w:r>
          </w:p>
        </w:tc>
      </w:tr>
      <w:tr>
        <w:tc>
          <w:tcPr>
            <w:tcW w:type="dxa" w:w="2381"/>
          </w:tcPr>
          <w:p>
            <w:r/>
            <w:r>
              <w:rPr>
                <w:b/>
                <w:sz w:val="17"/>
              </w:rPr>
              <w:t>Rule</w:t>
            </w:r>
          </w:p>
        </w:tc>
        <w:tc>
          <w:tcPr>
            <w:tcW w:type="dxa" w:w="12643"/>
          </w:tcPr>
          <w:p>
            <w:r/>
            <w:r>
              <w:rPr>
                <w:b w:val="0"/>
                <w:sz w:val="18"/>
              </w:rPr>
              <w:t>Insurers changing terms of existing riders (e.g., adding co-payment) must clearly explain the changes to policyholders at least 30 days before they take effect.</w:t>
            </w:r>
          </w:p>
        </w:tc>
      </w:tr>
      <w:tr>
        <w:tc>
          <w:tcPr>
            <w:tcW w:type="dxa" w:w="2381"/>
          </w:tcPr>
          <w:p>
            <w:r/>
            <w:r>
              <w:rPr>
                <w:b/>
                <w:sz w:val="17"/>
              </w:rPr>
              <w:t>Wording test</w:t>
            </w:r>
          </w:p>
        </w:tc>
        <w:tc>
          <w:tcPr>
            <w:tcW w:type="dxa" w:w="12643"/>
          </w:tcPr>
          <w:p>
            <w:r/>
            <w:r>
              <w:rPr>
                <w:b w:val="0"/>
                <w:sz w:val="18"/>
              </w:rPr>
              <w:t>Check the 'variation of terms' clause provides ≥30 days' written notice and explains how acceptance occurs (see SG-N120-06, SG-LG-06).</w:t>
            </w:r>
          </w:p>
        </w:tc>
      </w:tr>
      <w:tr>
        <w:tc>
          <w:tcPr>
            <w:tcW w:type="dxa" w:w="2381"/>
          </w:tcPr>
          <w:p>
            <w:r/>
            <w:r>
              <w:rPr>
                <w:b/>
                <w:sz w:val="17"/>
              </w:rPr>
              <w:t>Source</w:t>
            </w:r>
          </w:p>
        </w:tc>
        <w:tc>
          <w:tcPr>
            <w:tcW w:type="dxa" w:w="12643"/>
          </w:tcPr>
          <w:p>
            <w:r/>
            <w:r>
              <w:rPr>
                <w:b w:val="0"/>
                <w:sz w:val="18"/>
              </w:rPr>
              <w:t>Co-payment in Integrated Shield Plans for Specific Hospital Categories and Breakdown of Average Claims Made Through Full Riders (Parliamentary written answer, PQ Nos. 510, 515, 516) — MOH — PQ Nos. 510, 515, 516 — 26 Feb 2021</w:t>
            </w:r>
          </w:p>
        </w:tc>
      </w:tr>
      <w:tr>
        <w:tc>
          <w:tcPr>
            <w:tcW w:type="dxa" w:w="2381"/>
          </w:tcPr>
          <w:p>
            <w:r/>
            <w:r>
              <w:rPr>
                <w:b/>
                <w:sz w:val="17"/>
              </w:rPr>
              <w:t>Clause / section</w:t>
            </w:r>
          </w:p>
        </w:tc>
        <w:tc>
          <w:tcPr>
            <w:tcW w:type="dxa" w:w="12643"/>
          </w:tcPr>
          <w:p>
            <w:r/>
            <w:r>
              <w:rPr>
                <w:b w:val="0"/>
                <w:sz w:val="18"/>
              </w:rPr>
              <w:t>Answer, para 4</w:t>
            </w:r>
          </w:p>
        </w:tc>
      </w:tr>
      <w:tr>
        <w:tc>
          <w:tcPr>
            <w:tcW w:type="dxa" w:w="2381"/>
          </w:tcPr>
          <w:p>
            <w:r/>
            <w:r>
              <w:rPr>
                <w:b/>
                <w:sz w:val="17"/>
              </w:rPr>
              <w:t>URL</w:t>
            </w:r>
          </w:p>
        </w:tc>
        <w:tc>
          <w:tcPr>
            <w:tcW w:type="dxa" w:w="12643"/>
          </w:tcPr>
          <w:p>
            <w:r/>
            <w:r>
              <w:rPr>
                <w:b w:val="0"/>
                <w:sz w:val="18"/>
              </w:rPr>
              <w:t>https://www.moh.gov.sg/newsroom/co-payment-in-integrated-shield-plans-for-specific-hospital-categories-and-breakdown-of-average-claims-made-through-full-riders-of-integrated-shield-plans/</w:t>
            </w:r>
          </w:p>
        </w:tc>
      </w:tr>
      <w:tr>
        <w:tc>
          <w:tcPr>
            <w:tcW w:type="dxa" w:w="2381"/>
          </w:tcPr>
          <w:p>
            <w:r/>
            <w:r>
              <w:rPr>
                <w:b/>
                <w:sz w:val="17"/>
              </w:rPr>
              <w:t>Verification</w:t>
            </w:r>
          </w:p>
        </w:tc>
        <w:tc>
          <w:tcPr>
            <w:tcW w:type="dxa" w:w="12643"/>
          </w:tcPr>
          <w:p>
            <w:r/>
            <w:r>
              <w:rPr>
                <w:b w:val="0"/>
                <w:sz w:val="18"/>
              </w:rPr>
              <w:t>Verified – official MOH/CPF/SDIC web page or press release read</w:t>
            </w:r>
          </w:p>
        </w:tc>
      </w:tr>
    </w:tbl>
    <w:p/>
    <w:p>
      <w:pPr>
        <w:pStyle w:val="Heading2"/>
      </w:pPr>
      <w:r>
        <w:t>5. MAS Notice 120 – disclosure &amp; advisory (A&amp;H)</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SG-N120-01</w:t>
            </w:r>
          </w:p>
        </w:tc>
        <w:tc>
          <w:tcPr>
            <w:tcW w:type="dxa" w:w="12643"/>
            <w:shd w:val="clear" w:color="auto" w:fill="D9E2F3"/>
          </w:tcPr>
          <w:p>
            <w:r/>
            <w:r>
              <w:rPr>
                <w:b/>
                <w:sz w:val="18"/>
              </w:rPr>
              <w:t>All A&amp;H policies</w:t>
            </w:r>
          </w:p>
        </w:tc>
      </w:tr>
      <w:tr>
        <w:tc>
          <w:tcPr>
            <w:tcW w:type="dxa" w:w="2381"/>
          </w:tcPr>
          <w:p>
            <w:r/>
            <w:r>
              <w:rPr>
                <w:b/>
                <w:sz w:val="17"/>
              </w:rPr>
              <w:t>Rule</w:t>
            </w:r>
          </w:p>
        </w:tc>
        <w:tc>
          <w:tcPr>
            <w:tcW w:type="dxa" w:w="12643"/>
          </w:tcPr>
          <w:p>
            <w:r/>
            <w:r>
              <w:rPr>
                <w:b w:val="0"/>
                <w:sz w:val="18"/>
              </w:rPr>
              <w:t>No direct insurer may use the word 'Shield' in the name, description or title of an A&amp;H policy unless it is a MediSave-approved policy.</w:t>
            </w:r>
          </w:p>
        </w:tc>
      </w:tr>
      <w:tr>
        <w:tc>
          <w:tcPr>
            <w:tcW w:type="dxa" w:w="2381"/>
          </w:tcPr>
          <w:p>
            <w:r/>
            <w:r>
              <w:rPr>
                <w:b/>
                <w:sz w:val="17"/>
              </w:rPr>
              <w:t>Wording test</w:t>
            </w:r>
          </w:p>
        </w:tc>
        <w:tc>
          <w:tcPr>
            <w:tcW w:type="dxa" w:w="12643"/>
          </w:tcPr>
          <w:p>
            <w:r/>
            <w:r>
              <w:rPr>
                <w:b w:val="0"/>
                <w:sz w:val="18"/>
              </w:rPr>
              <w:t>FAIL if a non-MediSave-approved product (e.g., a hospital cash or stand-alone private medical plan) uses 'Shield' in its name.</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10A</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SG-N120-02</w:t>
            </w:r>
          </w:p>
        </w:tc>
        <w:tc>
          <w:tcPr>
            <w:tcW w:type="dxa" w:w="12643"/>
            <w:shd w:val="clear" w:color="auto" w:fill="D9E2F3"/>
          </w:tcPr>
          <w:p>
            <w:r/>
            <w:r>
              <w:rPr>
                <w:b/>
                <w:sz w:val="18"/>
              </w:rPr>
              <w:t>All A&amp;H policies sold to individuals</w:t>
            </w:r>
          </w:p>
        </w:tc>
      </w:tr>
      <w:tr>
        <w:tc>
          <w:tcPr>
            <w:tcW w:type="dxa" w:w="2381"/>
          </w:tcPr>
          <w:p>
            <w:r/>
            <w:r>
              <w:rPr>
                <w:b/>
                <w:sz w:val="17"/>
              </w:rPr>
              <w:t>Rule</w:t>
            </w:r>
          </w:p>
        </w:tc>
        <w:tc>
          <w:tcPr>
            <w:tcW w:type="dxa" w:w="12643"/>
          </w:tcPr>
          <w:p>
            <w:r/>
            <w:r>
              <w:rPr>
                <w:b w:val="0"/>
                <w:sz w:val="18"/>
              </w:rPr>
              <w:t>When dealing with an individual, the intermediary must disclose and explain: nature/objective of the policy; insurer name and business address; contractual rights and obligations (incl. accuracy of information, consequences of mis-statement/non-disclosure, premium amount/frequency and whether guaranteed); benefits (conditions for payment and non-payment, amount/timing, guaranteed or not, any lien); risks (whether insurer may alter terms and on what conditions; whether insurer may decline renewal or unilaterally terminate); free-look provision; claim/termination procedures and restrictions; all warnings, exclusions and disclaimers.</w:t>
            </w:r>
          </w:p>
        </w:tc>
      </w:tr>
      <w:tr>
        <w:tc>
          <w:tcPr>
            <w:tcW w:type="dxa" w:w="2381"/>
          </w:tcPr>
          <w:p>
            <w:r/>
            <w:r>
              <w:rPr>
                <w:b/>
                <w:sz w:val="17"/>
              </w:rPr>
              <w:t>Wording test</w:t>
            </w:r>
          </w:p>
        </w:tc>
        <w:tc>
          <w:tcPr>
            <w:tcW w:type="dxa" w:w="12643"/>
          </w:tcPr>
          <w:p>
            <w:r/>
            <w:r>
              <w:rPr>
                <w:b w:val="0"/>
                <w:sz w:val="18"/>
              </w:rPr>
              <w:t>Use as a checklist against the product summary and policy wording: each of items (a)-(h) must be findable. In particular, test that alteration/termination rights in the wording are disclosed and that non-guaranteed premiums are flagged.</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17(a)-(h)</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SG-N120-03</w:t>
            </w:r>
          </w:p>
        </w:tc>
        <w:tc>
          <w:tcPr>
            <w:tcW w:type="dxa" w:w="12643"/>
            <w:shd w:val="clear" w:color="auto" w:fill="D9E2F3"/>
          </w:tcPr>
          <w:p>
            <w:r/>
            <w:r>
              <w:rPr>
                <w:b/>
                <w:sz w:val="18"/>
              </w:rPr>
              <w:t>Non-MediSave-approved A&amp;H policies</w:t>
            </w:r>
          </w:p>
        </w:tc>
      </w:tr>
      <w:tr>
        <w:tc>
          <w:tcPr>
            <w:tcW w:type="dxa" w:w="2381"/>
          </w:tcPr>
          <w:p>
            <w:r/>
            <w:r>
              <w:rPr>
                <w:b/>
                <w:sz w:val="17"/>
              </w:rPr>
              <w:t>Rule</w:t>
            </w:r>
          </w:p>
        </w:tc>
        <w:tc>
          <w:tcPr>
            <w:tcW w:type="dxa" w:w="12643"/>
          </w:tcPr>
          <w:p>
            <w:r/>
            <w:r>
              <w:rPr>
                <w:b w:val="0"/>
                <w:sz w:val="18"/>
              </w:rPr>
              <w:t>Product summary must include (Times New Roman 10pt or larger): 'This policy is not a Medisave-approved policy and you may not use Medisave to pay the premium for this policy.'</w:t>
            </w:r>
          </w:p>
        </w:tc>
      </w:tr>
      <w:tr>
        <w:tc>
          <w:tcPr>
            <w:tcW w:type="dxa" w:w="2381"/>
          </w:tcPr>
          <w:p>
            <w:r/>
            <w:r>
              <w:rPr>
                <w:b/>
                <w:sz w:val="17"/>
              </w:rPr>
              <w:t>Wording test</w:t>
            </w:r>
          </w:p>
        </w:tc>
        <w:tc>
          <w:tcPr>
            <w:tcW w:type="dxa" w:w="12643"/>
          </w:tcPr>
          <w:p>
            <w:r/>
            <w:r>
              <w:rPr>
                <w:b w:val="0"/>
                <w:sz w:val="18"/>
              </w:rPr>
              <w:t>Check exact statement appears in the product summary of any non-MediSave-approved A&amp;H policy (incl. stand-alone riders not MediSave-payable, if issued as separate policies).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28C; Appendix C</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SG-N120-04</w:t>
            </w:r>
          </w:p>
        </w:tc>
        <w:tc>
          <w:tcPr>
            <w:tcW w:type="dxa" w:w="12643"/>
            <w:shd w:val="clear" w:color="auto" w:fill="D9E2F3"/>
          </w:tcPr>
          <w:p>
            <w:r/>
            <w:r>
              <w:rPr>
                <w:b/>
                <w:sz w:val="18"/>
              </w:rPr>
              <w:t>Renewable short-term A&amp;H policies</w:t>
            </w:r>
          </w:p>
        </w:tc>
      </w:tr>
      <w:tr>
        <w:tc>
          <w:tcPr>
            <w:tcW w:type="dxa" w:w="2381"/>
          </w:tcPr>
          <w:p>
            <w:r/>
            <w:r>
              <w:rPr>
                <w:b/>
                <w:sz w:val="17"/>
              </w:rPr>
              <w:t>Rule</w:t>
            </w:r>
          </w:p>
        </w:tc>
        <w:tc>
          <w:tcPr>
            <w:tcW w:type="dxa" w:w="12643"/>
          </w:tcPr>
          <w:p>
            <w:r/>
            <w:r>
              <w:rPr>
                <w:b w:val="0"/>
                <w:sz w:val="18"/>
              </w:rPr>
              <w:t>Product summary must include (TNR 10pt+): 'This is a short-term accident and health policy and the insurer is not required to renew this policy. The insurer may terminate this policy by giving you ___ notice in writing.' plus, if the insurer imposes exclusions or extra premium for existing conditions at renewal: 'If you have any existing medical condition at the policy renewal date, you may not be covered under the renewed policy for such a medical condition. If such a medical condition is covered under the renewed policy, you may need to pay additional premiums.'</w:t>
            </w:r>
          </w:p>
        </w:tc>
      </w:tr>
      <w:tr>
        <w:tc>
          <w:tcPr>
            <w:tcW w:type="dxa" w:w="2381"/>
          </w:tcPr>
          <w:p>
            <w:r/>
            <w:r>
              <w:rPr>
                <w:b/>
                <w:sz w:val="17"/>
              </w:rPr>
              <w:t>Wording test</w:t>
            </w:r>
          </w:p>
        </w:tc>
        <w:tc>
          <w:tcPr>
            <w:tcW w:type="dxa" w:w="12643"/>
          </w:tcPr>
          <w:p>
            <w:r/>
            <w:r>
              <w:rPr>
                <w:b w:val="0"/>
                <w:sz w:val="18"/>
              </w:rPr>
              <w:t>For products classified short-term under SG-IA-04: check both statements (second only if applicable) and that the notice period is filled in.</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28D; Appendix D</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SG-N120-05</w:t>
            </w:r>
          </w:p>
        </w:tc>
        <w:tc>
          <w:tcPr>
            <w:tcW w:type="dxa" w:w="12643"/>
            <w:shd w:val="clear" w:color="auto" w:fill="D9E2F3"/>
          </w:tcPr>
          <w:p>
            <w:r/>
            <w:r>
              <w:rPr>
                <w:b/>
                <w:sz w:val="18"/>
              </w:rPr>
              <w:t>Individual medical expense policies (non-IP) for citizens/PRs</w:t>
            </w:r>
          </w:p>
        </w:tc>
      </w:tr>
      <w:tr>
        <w:tc>
          <w:tcPr>
            <w:tcW w:type="dxa" w:w="2381"/>
          </w:tcPr>
          <w:p>
            <w:r/>
            <w:r>
              <w:rPr>
                <w:b/>
                <w:sz w:val="17"/>
              </w:rPr>
              <w:t>Rule</w:t>
            </w:r>
          </w:p>
        </w:tc>
        <w:tc>
          <w:tcPr>
            <w:tcW w:type="dxa" w:w="12643"/>
          </w:tcPr>
          <w:p>
            <w:r/>
            <w:r>
              <w:rPr>
                <w:b w:val="0"/>
                <w:sz w:val="18"/>
              </w:rPr>
              <w:t>Conditional letters of offer and termination letters must contain (TNR 10pt+) the Appendix B statement that MediShield Life covers citizens/PRs for life, for treatment in Singapore, regardless of pre-existing conditions (and continues after termination).</w:t>
            </w:r>
          </w:p>
        </w:tc>
      </w:tr>
      <w:tr>
        <w:tc>
          <w:tcPr>
            <w:tcW w:type="dxa" w:w="2381"/>
          </w:tcPr>
          <w:p>
            <w:r/>
            <w:r>
              <w:rPr>
                <w:b/>
                <w:sz w:val="17"/>
              </w:rPr>
              <w:t>Wording test</w:t>
            </w:r>
          </w:p>
        </w:tc>
        <w:tc>
          <w:tcPr>
            <w:tcW w:type="dxa" w:w="12643"/>
          </w:tcPr>
          <w:p>
            <w:r/>
            <w:r>
              <w:rPr>
                <w:b w:val="0"/>
                <w:sz w:val="18"/>
              </w:rPr>
              <w:t>Check conditional offer and termination letter templates for the verbatim Appendix B statements.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28B; Appendix B</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SG-N120-06</w:t>
            </w:r>
          </w:p>
        </w:tc>
        <w:tc>
          <w:tcPr>
            <w:tcW w:type="dxa" w:w="12643"/>
            <w:shd w:val="clear" w:color="auto" w:fill="D9E2F3"/>
          </w:tcPr>
          <w:p>
            <w:r/>
            <w:r>
              <w:rPr>
                <w:b/>
                <w:sz w:val="18"/>
              </w:rPr>
              <w:t>A&amp;H policies (individual owners) with insurer power to vary terms</w:t>
            </w:r>
          </w:p>
        </w:tc>
      </w:tr>
      <w:tr>
        <w:tc>
          <w:tcPr>
            <w:tcW w:type="dxa" w:w="2381"/>
          </w:tcPr>
          <w:p>
            <w:r/>
            <w:r>
              <w:rPr>
                <w:b/>
                <w:sz w:val="17"/>
              </w:rPr>
              <w:t>Rule</w:t>
            </w:r>
          </w:p>
        </w:tc>
        <w:tc>
          <w:tcPr>
            <w:tcW w:type="dxa" w:w="12643"/>
          </w:tcPr>
          <w:p>
            <w:r/>
            <w:r>
              <w:rPr>
                <w:b w:val="0"/>
                <w:sz w:val="18"/>
              </w:rPr>
              <w:t>Where the policy allows the insurer to vary, amend or add to terms during the contract, the insurer must disclose the existing terms, disclose and explain the new terms and how acceptance happens (or is deemed), in writing at least 30 days before the change takes effect.</w:t>
            </w:r>
          </w:p>
        </w:tc>
      </w:tr>
      <w:tr>
        <w:tc>
          <w:tcPr>
            <w:tcW w:type="dxa" w:w="2381"/>
          </w:tcPr>
          <w:p>
            <w:r/>
            <w:r>
              <w:rPr>
                <w:b/>
                <w:sz w:val="17"/>
              </w:rPr>
              <w:t>Wording test</w:t>
            </w:r>
          </w:p>
        </w:tc>
        <w:tc>
          <w:tcPr>
            <w:tcW w:type="dxa" w:w="12643"/>
          </w:tcPr>
          <w:p>
            <w:r/>
            <w:r>
              <w:rPr>
                <w:b w:val="0"/>
                <w:sz w:val="18"/>
              </w:rPr>
              <w:t>Check the variation clause promises ≥30 days' written notice and states the acceptance/deemed-acceptance mechanism. FAIL if 'without notice' or &lt; 30 days.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29(a)-(d)</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SG-N120-07</w:t>
            </w:r>
          </w:p>
        </w:tc>
        <w:tc>
          <w:tcPr>
            <w:tcW w:type="dxa" w:w="12643"/>
            <w:shd w:val="clear" w:color="auto" w:fill="D9E2F3"/>
          </w:tcPr>
          <w:p>
            <w:r/>
            <w:r>
              <w:rPr>
                <w:b/>
                <w:sz w:val="18"/>
              </w:rPr>
              <w:t>IP / non-IP shield plans – product summary</w:t>
            </w:r>
          </w:p>
        </w:tc>
      </w:tr>
      <w:tr>
        <w:tc>
          <w:tcPr>
            <w:tcW w:type="dxa" w:w="2381"/>
          </w:tcPr>
          <w:p>
            <w:r/>
            <w:r>
              <w:rPr>
                <w:b/>
                <w:sz w:val="17"/>
              </w:rPr>
              <w:t>Rule</w:t>
            </w:r>
          </w:p>
        </w:tc>
        <w:tc>
          <w:tcPr>
            <w:tcW w:type="dxa" w:w="12643"/>
          </w:tcPr>
          <w:p>
            <w:r/>
            <w:r>
              <w:rPr>
                <w:b w:val="0"/>
                <w:sz w:val="18"/>
              </w:rPr>
              <w:t>IP product summary must: state the IP comprises a MediShield Life Component and additional private coverage; state final payout comprises both; compare MediShield Life and IP benefits; give premiums for all age bands (no pre-existing condition) split MediShield Life vs private component, with MediSave withdrawal limits and cash outlay; highlight risks/limitations of switching insurers and upgrading; highlight option to downgrade or terminate and that MediShield Life continues.</w:t>
            </w:r>
          </w:p>
        </w:tc>
      </w:tr>
      <w:tr>
        <w:tc>
          <w:tcPr>
            <w:tcW w:type="dxa" w:w="2381"/>
          </w:tcPr>
          <w:p>
            <w:r/>
            <w:r>
              <w:rPr>
                <w:b/>
                <w:sz w:val="17"/>
              </w:rPr>
              <w:t>Wording test</w:t>
            </w:r>
          </w:p>
        </w:tc>
        <w:tc>
          <w:tcPr>
            <w:tcW w:type="dxa" w:w="12643"/>
          </w:tcPr>
          <w:p>
            <w:r/>
            <w:r>
              <w:rPr>
                <w:b w:val="0"/>
                <w:sz w:val="18"/>
              </w:rPr>
              <w:t>Checklist against IP product summary – each element must be present.</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28A(a); Appendix A Part A-1 paras 1-4</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SG-N120-08</w:t>
            </w:r>
          </w:p>
        </w:tc>
        <w:tc>
          <w:tcPr>
            <w:tcW w:type="dxa" w:w="12643"/>
            <w:shd w:val="clear" w:color="auto" w:fill="D9E2F3"/>
          </w:tcPr>
          <w:p>
            <w:r/>
            <w:r>
              <w:rPr>
                <w:b/>
                <w:sz w:val="18"/>
              </w:rPr>
              <w:t>IP – proposal form</w:t>
            </w:r>
          </w:p>
        </w:tc>
      </w:tr>
      <w:tr>
        <w:tc>
          <w:tcPr>
            <w:tcW w:type="dxa" w:w="2381"/>
          </w:tcPr>
          <w:p>
            <w:r/>
            <w:r>
              <w:rPr>
                <w:b/>
                <w:sz w:val="17"/>
              </w:rPr>
              <w:t>Rule</w:t>
            </w:r>
          </w:p>
        </w:tc>
        <w:tc>
          <w:tcPr>
            <w:tcW w:type="dxa" w:w="12643"/>
          </w:tcPr>
          <w:p>
            <w:r/>
            <w:r>
              <w:rPr>
                <w:b w:val="0"/>
                <w:sz w:val="18"/>
              </w:rPr>
              <w:t>Proposal form must capture a declaration that the representative advised on long-term premium commitment and sufficiency of MediSave/means to pay MediShield Life premiums; if switching/upgrading, a declaration that risks/limitations were highlighted.</w:t>
            </w:r>
          </w:p>
        </w:tc>
      </w:tr>
      <w:tr>
        <w:tc>
          <w:tcPr>
            <w:tcW w:type="dxa" w:w="2381"/>
          </w:tcPr>
          <w:p>
            <w:r/>
            <w:r>
              <w:rPr>
                <w:b/>
                <w:sz w:val="17"/>
              </w:rPr>
              <w:t>Wording test</w:t>
            </w:r>
          </w:p>
        </w:tc>
        <w:tc>
          <w:tcPr>
            <w:tcW w:type="dxa" w:w="12643"/>
          </w:tcPr>
          <w:p>
            <w:r/>
            <w:r>
              <w:rPr>
                <w:b w:val="0"/>
                <w:sz w:val="18"/>
              </w:rPr>
              <w:t>Check the IP proposal form contains both declarations.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28A(b); Appendix A Part A-2 paras 5-6</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SG-N120-09</w:t>
            </w:r>
          </w:p>
        </w:tc>
        <w:tc>
          <w:tcPr>
            <w:tcW w:type="dxa" w:w="12643"/>
            <w:shd w:val="clear" w:color="auto" w:fill="D9E2F3"/>
          </w:tcPr>
          <w:p>
            <w:r/>
            <w:r>
              <w:rPr>
                <w:b/>
                <w:sz w:val="18"/>
              </w:rPr>
              <w:t>IP – acceptance letter / conditional offer</w:t>
            </w:r>
          </w:p>
        </w:tc>
      </w:tr>
      <w:tr>
        <w:tc>
          <w:tcPr>
            <w:tcW w:type="dxa" w:w="2381"/>
          </w:tcPr>
          <w:p>
            <w:r/>
            <w:r>
              <w:rPr>
                <w:b/>
                <w:sz w:val="17"/>
              </w:rPr>
              <w:t>Rule</w:t>
            </w:r>
          </w:p>
        </w:tc>
        <w:tc>
          <w:tcPr>
            <w:tcW w:type="dxa" w:w="12643"/>
          </w:tcPr>
          <w:p>
            <w:r/>
            <w:r>
              <w:rPr>
                <w:b w:val="0"/>
                <w:sz w:val="18"/>
              </w:rPr>
              <w:t>Acceptance letter and conditional offer must state that cover starts on the inception date (not letter date), policy schedule follows (and depends on successful MediSave deduction where relevant); conditional offer must break down premiums (MediShield Life incl. subsidy, rebate, additional premium for serious pre-existing conditions; private component incl. rebates/loading), MediSave vs cash, applicable MediSave withdrawal limits, risk-loading factor for covering otherwise-excluded conditions, and that MediShield Life continues lifetime cover without excluding existing conditions.</w:t>
            </w:r>
          </w:p>
        </w:tc>
      </w:tr>
      <w:tr>
        <w:tc>
          <w:tcPr>
            <w:tcW w:type="dxa" w:w="2381"/>
          </w:tcPr>
          <w:p>
            <w:r/>
            <w:r>
              <w:rPr>
                <w:b/>
                <w:sz w:val="17"/>
              </w:rPr>
              <w:t>Wording test</w:t>
            </w:r>
          </w:p>
        </w:tc>
        <w:tc>
          <w:tcPr>
            <w:tcW w:type="dxa" w:w="12643"/>
          </w:tcPr>
          <w:p>
            <w:r/>
            <w:r>
              <w:rPr>
                <w:b w:val="0"/>
                <w:sz w:val="18"/>
              </w:rPr>
              <w:t>Check templates for each element; especially the risk-loading factor and the 'MediShield Life continues' statement when exclusions/loading are imposed.</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28A(c)-(d); Appendix A Parts A-3 and A-4 paras 7-16</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SG-N120-10</w:t>
            </w:r>
          </w:p>
        </w:tc>
        <w:tc>
          <w:tcPr>
            <w:tcW w:type="dxa" w:w="12643"/>
            <w:shd w:val="clear" w:color="auto" w:fill="D9E2F3"/>
          </w:tcPr>
          <w:p>
            <w:r/>
            <w:r>
              <w:rPr>
                <w:b/>
                <w:sz w:val="18"/>
              </w:rPr>
              <w:t>IP – premium notification (renewal) letter</w:t>
            </w:r>
          </w:p>
        </w:tc>
      </w:tr>
      <w:tr>
        <w:tc>
          <w:tcPr>
            <w:tcW w:type="dxa" w:w="2381"/>
          </w:tcPr>
          <w:p>
            <w:r/>
            <w:r>
              <w:rPr>
                <w:b/>
                <w:sz w:val="17"/>
              </w:rPr>
              <w:t>Rule</w:t>
            </w:r>
          </w:p>
        </w:tc>
        <w:tc>
          <w:tcPr>
            <w:tcW w:type="dxa" w:w="12643"/>
          </w:tcPr>
          <w:p>
            <w:r/>
            <w:r>
              <w:rPr>
                <w:b w:val="0"/>
                <w:sz w:val="18"/>
              </w:rPr>
              <w:t>At least one month before renewal, list policies due; break down MediShield Life vs private premiums and subsidy; indicate exclusions imposed on the insured; MediSave vs cash; downgrade option; MediShield Life continues if IP terminated.</w:t>
            </w:r>
          </w:p>
        </w:tc>
      </w:tr>
      <w:tr>
        <w:tc>
          <w:tcPr>
            <w:tcW w:type="dxa" w:w="2381"/>
          </w:tcPr>
          <w:p>
            <w:r/>
            <w:r>
              <w:rPr>
                <w:b/>
                <w:sz w:val="17"/>
              </w:rPr>
              <w:t>Wording test</w:t>
            </w:r>
          </w:p>
        </w:tc>
        <w:tc>
          <w:tcPr>
            <w:tcW w:type="dxa" w:w="12643"/>
          </w:tcPr>
          <w:p>
            <w:r/>
            <w:r>
              <w:rPr>
                <w:b w:val="0"/>
                <w:sz w:val="18"/>
              </w:rPr>
              <w:t>Check renewal notice template: timing ≥1 month, exclusions flagged, premium split.</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Appendix A Part A-5 paras 17-23</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SG-N120-11</w:t>
            </w:r>
          </w:p>
        </w:tc>
        <w:tc>
          <w:tcPr>
            <w:tcW w:type="dxa" w:w="12643"/>
            <w:shd w:val="clear" w:color="auto" w:fill="D9E2F3"/>
          </w:tcPr>
          <w:p>
            <w:r/>
            <w:r>
              <w:rPr>
                <w:b/>
                <w:sz w:val="18"/>
              </w:rPr>
              <w:t>IP – termination letter</w:t>
            </w:r>
          </w:p>
        </w:tc>
      </w:tr>
      <w:tr>
        <w:tc>
          <w:tcPr>
            <w:tcW w:type="dxa" w:w="2381"/>
          </w:tcPr>
          <w:p>
            <w:r/>
            <w:r>
              <w:rPr>
                <w:b/>
                <w:sz w:val="17"/>
              </w:rPr>
              <w:t>Rule</w:t>
            </w:r>
          </w:p>
        </w:tc>
        <w:tc>
          <w:tcPr>
            <w:tcW w:type="dxa" w:w="12643"/>
          </w:tcPr>
          <w:p>
            <w:r/>
            <w:r>
              <w:rPr>
                <w:b w:val="0"/>
                <w:sz w:val="18"/>
              </w:rPr>
              <w:t>Termination letter must highlight switching/upgrading risks; tell citizen/PR that MediShield Life continues without excluding existing conditions (if not switching); and, where terminated to switch, that the policy may be reinstated within 30 days of the termination notice without a health declaration.</w:t>
            </w:r>
          </w:p>
        </w:tc>
      </w:tr>
      <w:tr>
        <w:tc>
          <w:tcPr>
            <w:tcW w:type="dxa" w:w="2381"/>
          </w:tcPr>
          <w:p>
            <w:r/>
            <w:r>
              <w:rPr>
                <w:b/>
                <w:sz w:val="17"/>
              </w:rPr>
              <w:t>Wording test</w:t>
            </w:r>
          </w:p>
        </w:tc>
        <w:tc>
          <w:tcPr>
            <w:tcW w:type="dxa" w:w="12643"/>
          </w:tcPr>
          <w:p>
            <w:r/>
            <w:r>
              <w:rPr>
                <w:b w:val="0"/>
                <w:sz w:val="18"/>
              </w:rPr>
              <w:t>Check termination letter and policy reinstatement clause: 30-day no-health-declaration reinstatement for switch cases.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28A(f); Appendix A Part A-6 paras 24-26</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SG-N120-12</w:t>
            </w:r>
          </w:p>
        </w:tc>
        <w:tc>
          <w:tcPr>
            <w:tcW w:type="dxa" w:w="12643"/>
            <w:shd w:val="clear" w:color="auto" w:fill="D9E2F3"/>
          </w:tcPr>
          <w:p>
            <w:r/>
            <w:r>
              <w:rPr>
                <w:b/>
                <w:sz w:val="18"/>
              </w:rPr>
              <w:t>IP – claims settlement letter</w:t>
            </w:r>
          </w:p>
        </w:tc>
      </w:tr>
      <w:tr>
        <w:tc>
          <w:tcPr>
            <w:tcW w:type="dxa" w:w="2381"/>
          </w:tcPr>
          <w:p>
            <w:r/>
            <w:r>
              <w:rPr>
                <w:b/>
                <w:sz w:val="17"/>
              </w:rPr>
              <w:t>Rule</w:t>
            </w:r>
          </w:p>
        </w:tc>
        <w:tc>
          <w:tcPr>
            <w:tcW w:type="dxa" w:w="12643"/>
          </w:tcPr>
          <w:p>
            <w:r/>
            <w:r>
              <w:rPr>
                <w:b w:val="0"/>
                <w:sz w:val="18"/>
              </w:rPr>
              <w:t>Claim settlement letters must break down amounts paid under the MediShield Life Component, the additional private coverage, and the IP rider (if any).</w:t>
            </w:r>
          </w:p>
        </w:tc>
      </w:tr>
      <w:tr>
        <w:tc>
          <w:tcPr>
            <w:tcW w:type="dxa" w:w="2381"/>
          </w:tcPr>
          <w:p>
            <w:r/>
            <w:r>
              <w:rPr>
                <w:b/>
                <w:sz w:val="17"/>
              </w:rPr>
              <w:t>Wording test</w:t>
            </w:r>
          </w:p>
        </w:tc>
        <w:tc>
          <w:tcPr>
            <w:tcW w:type="dxa" w:w="12643"/>
          </w:tcPr>
          <w:p>
            <w:r/>
            <w:r>
              <w:rPr>
                <w:b w:val="0"/>
                <w:sz w:val="18"/>
              </w:rPr>
              <w:t>Check claim settlement letter template shows three-way split.</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28A(g); Appendix A Part A-7 para 27</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SG-N120-13</w:t>
            </w:r>
          </w:p>
        </w:tc>
        <w:tc>
          <w:tcPr>
            <w:tcW w:type="dxa" w:w="12643"/>
            <w:shd w:val="clear" w:color="auto" w:fill="D9E2F3"/>
          </w:tcPr>
          <w:p>
            <w:r/>
            <w:r>
              <w:rPr>
                <w:b/>
                <w:sz w:val="18"/>
              </w:rPr>
              <w:t>A&amp;H switching</w:t>
            </w:r>
          </w:p>
        </w:tc>
      </w:tr>
      <w:tr>
        <w:tc>
          <w:tcPr>
            <w:tcW w:type="dxa" w:w="2381"/>
          </w:tcPr>
          <w:p>
            <w:r/>
            <w:r>
              <w:rPr>
                <w:b/>
                <w:sz w:val="17"/>
              </w:rPr>
              <w:t>Rule</w:t>
            </w:r>
          </w:p>
        </w:tc>
        <w:tc>
          <w:tcPr>
            <w:tcW w:type="dxa" w:w="12643"/>
          </w:tcPr>
          <w:p>
            <w:r/>
            <w:r>
              <w:rPr>
                <w:b w:val="0"/>
                <w:sz w:val="18"/>
              </w:rPr>
              <w:t>Intermediaries must not advise an individual to switch A&amp;H policies in a manner detrimental to the insured (factors: termination penalty, transaction cost without real benefit, lower benefit at same/higher cost, less suitable). Must disclose in writing fees/charges and benefit changes from switching.</w:t>
            </w:r>
          </w:p>
        </w:tc>
      </w:tr>
      <w:tr>
        <w:tc>
          <w:tcPr>
            <w:tcW w:type="dxa" w:w="2381"/>
          </w:tcPr>
          <w:p>
            <w:r/>
            <w:r>
              <w:rPr>
                <w:b/>
                <w:sz w:val="17"/>
              </w:rPr>
              <w:t>Wording test</w:t>
            </w:r>
          </w:p>
        </w:tc>
        <w:tc>
          <w:tcPr>
            <w:tcW w:type="dxa" w:w="12643"/>
          </w:tcPr>
          <w:p>
            <w:r/>
            <w:r>
              <w:rPr>
                <w:b w:val="0"/>
                <w:sz w:val="18"/>
              </w:rPr>
              <w:t>Sales-process check; for wording tests, check the product summary contains the switching warning (LIA/GIA Guidelines para 15(u)).</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paras 44-46</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SG-N120-14</w:t>
            </w:r>
          </w:p>
        </w:tc>
        <w:tc>
          <w:tcPr>
            <w:tcW w:type="dxa" w:w="12643"/>
            <w:shd w:val="clear" w:color="auto" w:fill="D9E2F3"/>
          </w:tcPr>
          <w:p>
            <w:r/>
            <w:r>
              <w:rPr>
                <w:b/>
                <w:sz w:val="18"/>
              </w:rPr>
              <w:t>MediSave-approved policies – telemarketing</w:t>
            </w:r>
          </w:p>
        </w:tc>
      </w:tr>
      <w:tr>
        <w:tc>
          <w:tcPr>
            <w:tcW w:type="dxa" w:w="2381"/>
          </w:tcPr>
          <w:p>
            <w:r/>
            <w:r>
              <w:rPr>
                <w:b/>
                <w:sz w:val="17"/>
              </w:rPr>
              <w:t>Rule</w:t>
            </w:r>
          </w:p>
        </w:tc>
        <w:tc>
          <w:tcPr>
            <w:tcW w:type="dxa" w:w="12643"/>
          </w:tcPr>
          <w:p>
            <w:r/>
            <w:r>
              <w:rPr>
                <w:b w:val="0"/>
                <w:sz w:val="18"/>
              </w:rPr>
              <w:t>An intermediary must not close a sale of a MediSave-approved policy over the telephone where it marketed it by phone; information-only calls must follow insurer-approved script and be recorded. (Temporary exemption 13 Apr 2020–30 Sep 2022 has lapsed.)</w:t>
            </w:r>
          </w:p>
        </w:tc>
      </w:tr>
      <w:tr>
        <w:tc>
          <w:tcPr>
            <w:tcW w:type="dxa" w:w="2381"/>
          </w:tcPr>
          <w:p>
            <w:r/>
            <w:r>
              <w:rPr>
                <w:b/>
                <w:sz w:val="17"/>
              </w:rPr>
              <w:t>Wording test</w:t>
            </w:r>
          </w:p>
        </w:tc>
        <w:tc>
          <w:tcPr>
            <w:tcW w:type="dxa" w:w="12643"/>
          </w:tcPr>
          <w:p>
            <w:r/>
            <w:r>
              <w:rPr>
                <w:b w:val="0"/>
                <w:sz w:val="18"/>
              </w:rPr>
              <w:t>Distribution check for IP sales journeys.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paras 24A, 24B</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SG-N120-15</w:t>
            </w:r>
          </w:p>
        </w:tc>
        <w:tc>
          <w:tcPr>
            <w:tcW w:type="dxa" w:w="12643"/>
            <w:shd w:val="clear" w:color="auto" w:fill="D9E2F3"/>
          </w:tcPr>
          <w:p>
            <w:r/>
            <w:r>
              <w:rPr>
                <w:b/>
                <w:sz w:val="18"/>
              </w:rPr>
              <w:t>A&amp;H direct response advertising</w:t>
            </w:r>
          </w:p>
        </w:tc>
      </w:tr>
      <w:tr>
        <w:tc>
          <w:tcPr>
            <w:tcW w:type="dxa" w:w="2381"/>
          </w:tcPr>
          <w:p>
            <w:r/>
            <w:r>
              <w:rPr>
                <w:b/>
                <w:sz w:val="17"/>
              </w:rPr>
              <w:t>Rule</w:t>
            </w:r>
          </w:p>
        </w:tc>
        <w:tc>
          <w:tcPr>
            <w:tcW w:type="dxa" w:w="12643"/>
          </w:tcPr>
          <w:p>
            <w:r/>
            <w:r>
              <w:rPr>
                <w:b w:val="0"/>
                <w:sz w:val="18"/>
              </w:rPr>
              <w:t>Direct-response marketing designed to solicit and close a sale must prominently warn that the buyer may wish to seek advice, should consider suitability if not, and may cancel under the free-look provision (insurer may recover underwriting expenses).</w:t>
            </w:r>
          </w:p>
        </w:tc>
      </w:tr>
      <w:tr>
        <w:tc>
          <w:tcPr>
            <w:tcW w:type="dxa" w:w="2381"/>
          </w:tcPr>
          <w:p>
            <w:r/>
            <w:r>
              <w:rPr>
                <w:b/>
                <w:sz w:val="17"/>
              </w:rPr>
              <w:t>Wording test</w:t>
            </w:r>
          </w:p>
        </w:tc>
        <w:tc>
          <w:tcPr>
            <w:tcW w:type="dxa" w:w="12643"/>
          </w:tcPr>
          <w:p>
            <w:r/>
            <w:r>
              <w:rPr>
                <w:b w:val="0"/>
                <w:sz w:val="18"/>
              </w:rPr>
              <w:t>Check direct-marketing materials and online sales pages for all three warnings.</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 25</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SG-N120-16</w:t>
            </w:r>
          </w:p>
        </w:tc>
        <w:tc>
          <w:tcPr>
            <w:tcW w:type="dxa" w:w="12643"/>
            <w:shd w:val="clear" w:color="auto" w:fill="D9E2F3"/>
          </w:tcPr>
          <w:p>
            <w:r/>
            <w:r>
              <w:rPr>
                <w:b/>
                <w:sz w:val="18"/>
              </w:rPr>
              <w:t>Health policy advice – KYC</w:t>
            </w:r>
          </w:p>
        </w:tc>
      </w:tr>
      <w:tr>
        <w:tc>
          <w:tcPr>
            <w:tcW w:type="dxa" w:w="2381"/>
          </w:tcPr>
          <w:p>
            <w:r/>
            <w:r>
              <w:rPr>
                <w:b/>
                <w:sz w:val="17"/>
              </w:rPr>
              <w:t>Rule</w:t>
            </w:r>
          </w:p>
        </w:tc>
        <w:tc>
          <w:tcPr>
            <w:tcW w:type="dxa" w:w="12643"/>
          </w:tcPr>
          <w:p>
            <w:r/>
            <w:r>
              <w:rPr>
                <w:b w:val="0"/>
                <w:sz w:val="18"/>
              </w:rPr>
              <w:t>Advice on health policies needs a reasonable basis: collect and document objectives (events covered, lump-sum vs reimbursement, desired WARD CLASS), employment, finances, existing health policies incl. CPF schemes, medical conditions; needs analysis; written basis of advice before application is signed.</w:t>
            </w:r>
          </w:p>
        </w:tc>
      </w:tr>
      <w:tr>
        <w:tc>
          <w:tcPr>
            <w:tcW w:type="dxa" w:w="2381"/>
          </w:tcPr>
          <w:p>
            <w:r/>
            <w:r>
              <w:rPr>
                <w:b/>
                <w:sz w:val="17"/>
              </w:rPr>
              <w:t>Wording test</w:t>
            </w:r>
          </w:p>
        </w:tc>
        <w:tc>
          <w:tcPr>
            <w:tcW w:type="dxa" w:w="12643"/>
          </w:tcPr>
          <w:p>
            <w:r/>
            <w:r>
              <w:rPr>
                <w:b w:val="0"/>
                <w:sz w:val="18"/>
              </w:rPr>
              <w:t>Process check (fact-find forms). Not a policy-wording test.</w:t>
            </w:r>
          </w:p>
        </w:tc>
      </w:tr>
      <w:tr>
        <w:tc>
          <w:tcPr>
            <w:tcW w:type="dxa" w:w="2381"/>
          </w:tcPr>
          <w:p>
            <w:r/>
            <w:r>
              <w:rPr>
                <w:b/>
                <w:sz w:val="17"/>
              </w:rPr>
              <w:t>Source</w:t>
            </w:r>
          </w:p>
        </w:tc>
        <w:tc>
          <w:tcPr>
            <w:tcW w:type="dxa" w:w="12643"/>
          </w:tcPr>
          <w:p>
            <w:r/>
            <w:r>
              <w:rPr>
                <w:b w:val="0"/>
                <w:sz w:val="18"/>
              </w:rPr>
              <w:t>Notice on Disclosure and Advisory Process Requirements for Accident and Health Insurance Products — MAS — MAS Notice 120 — Issued 30 Jan 2004; last revised 1 Jun 2022 (MAS 120 (Amendment) 2022)</w:t>
            </w:r>
          </w:p>
        </w:tc>
      </w:tr>
      <w:tr>
        <w:tc>
          <w:tcPr>
            <w:tcW w:type="dxa" w:w="2381"/>
          </w:tcPr>
          <w:p>
            <w:r/>
            <w:r>
              <w:rPr>
                <w:b/>
                <w:sz w:val="17"/>
              </w:rPr>
              <w:t>Clause / section</w:t>
            </w:r>
          </w:p>
        </w:tc>
        <w:tc>
          <w:tcPr>
            <w:tcW w:type="dxa" w:w="12643"/>
          </w:tcPr>
          <w:p>
            <w:r/>
            <w:r>
              <w:rPr>
                <w:b w:val="0"/>
                <w:sz w:val="18"/>
              </w:rPr>
              <w:t>paras 30-31, 34-43</w:t>
            </w:r>
          </w:p>
        </w:tc>
      </w:tr>
      <w:tr>
        <w:tc>
          <w:tcPr>
            <w:tcW w:type="dxa" w:w="2381"/>
          </w:tcPr>
          <w:p>
            <w:r/>
            <w:r>
              <w:rPr>
                <w:b/>
                <w:sz w:val="17"/>
              </w:rPr>
              <w:t>URL</w:t>
            </w:r>
          </w:p>
        </w:tc>
        <w:tc>
          <w:tcPr>
            <w:tcW w:type="dxa" w:w="12643"/>
          </w:tcPr>
          <w:p>
            <w:r/>
            <w:r>
              <w:rPr>
                <w:b w:val="0"/>
                <w:sz w:val="18"/>
              </w:rPr>
              <w:t>https://www.mas.gov.sg/-/media/mas-media-library/regulation/notices/id/notice-120/310522-mas-120_revised-may-2022.pdf</w:t>
            </w:r>
          </w:p>
        </w:tc>
      </w:tr>
      <w:tr>
        <w:tc>
          <w:tcPr>
            <w:tcW w:type="dxa" w:w="2381"/>
          </w:tcPr>
          <w:p>
            <w:r/>
            <w:r>
              <w:rPr>
                <w:b/>
                <w:sz w:val="17"/>
              </w:rPr>
              <w:t>Verification</w:t>
            </w:r>
          </w:p>
        </w:tc>
        <w:tc>
          <w:tcPr>
            <w:tcW w:type="dxa" w:w="12643"/>
          </w:tcPr>
          <w:p>
            <w:r/>
            <w:r>
              <w:rPr>
                <w:b w:val="0"/>
                <w:sz w:val="18"/>
              </w:rPr>
              <w:t>Verified – primary text read</w:t>
            </w:r>
          </w:p>
        </w:tc>
      </w:tr>
    </w:tbl>
    <w:p/>
    <w:p>
      <w:pPr>
        <w:pStyle w:val="Heading2"/>
      </w:pPr>
      <w:r>
        <w:t>6. Other MAS conduct requirements</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SG-MAS-01</w:t>
            </w:r>
          </w:p>
        </w:tc>
        <w:tc>
          <w:tcPr>
            <w:tcW w:type="dxa" w:w="12643"/>
            <w:shd w:val="clear" w:color="auto" w:fill="D9E2F3"/>
          </w:tcPr>
          <w:p>
            <w:r/>
            <w:r>
              <w:rPr>
                <w:b/>
                <w:sz w:val="18"/>
              </w:rPr>
              <w:t>All FIs incl. insurers</w:t>
            </w:r>
          </w:p>
        </w:tc>
      </w:tr>
      <w:tr>
        <w:tc>
          <w:tcPr>
            <w:tcW w:type="dxa" w:w="2381"/>
          </w:tcPr>
          <w:p>
            <w:r/>
            <w:r>
              <w:rPr>
                <w:b/>
                <w:sz w:val="17"/>
              </w:rPr>
              <w:t>Rule</w:t>
            </w:r>
          </w:p>
        </w:tc>
        <w:tc>
          <w:tcPr>
            <w:tcW w:type="dxa" w:w="12643"/>
          </w:tcPr>
          <w:p>
            <w:r/>
            <w:r>
              <w:rPr>
                <w:b w:val="0"/>
                <w:sz w:val="18"/>
              </w:rPr>
              <w:t>Customers should receive clear, relevant and timely information; for insurance products, information about exclusions should be carefully explained (Fair Dealing Outcome 4).</w:t>
            </w:r>
          </w:p>
        </w:tc>
      </w:tr>
      <w:tr>
        <w:tc>
          <w:tcPr>
            <w:tcW w:type="dxa" w:w="2381"/>
          </w:tcPr>
          <w:p>
            <w:r/>
            <w:r>
              <w:rPr>
                <w:b/>
                <w:sz w:val="17"/>
              </w:rPr>
              <w:t>Wording test</w:t>
            </w:r>
          </w:p>
        </w:tc>
        <w:tc>
          <w:tcPr>
            <w:tcW w:type="dxa" w:w="12643"/>
          </w:tcPr>
          <w:p>
            <w:r/>
            <w:r>
              <w:rPr>
                <w:b w:val="0"/>
                <w:sz w:val="18"/>
              </w:rPr>
              <w:t>Test exclusions for clarity: plain language, defined medical terms, no cross-references that hide scope. Flag ambiguous exclusions.</w:t>
            </w:r>
          </w:p>
        </w:tc>
      </w:tr>
      <w:tr>
        <w:tc>
          <w:tcPr>
            <w:tcW w:type="dxa" w:w="2381"/>
          </w:tcPr>
          <w:p>
            <w:r/>
            <w:r>
              <w:rPr>
                <w:b/>
                <w:sz w:val="17"/>
              </w:rPr>
              <w:t>Source</w:t>
            </w:r>
          </w:p>
        </w:tc>
        <w:tc>
          <w:tcPr>
            <w:tcW w:type="dxa" w:w="12643"/>
          </w:tcPr>
          <w:p>
            <w:r/>
            <w:r>
              <w:rPr>
                <w:b w:val="0"/>
                <w:sz w:val="18"/>
              </w:rPr>
              <w:t>Guidelines on Fair Dealing – Board and Senior Management Responsibilities for Delivering Fair Dealing Outcomes to Customers — MAS — FSG-G04 — Issued 3 Apr 2009; last revised 30 May 2024</w:t>
            </w:r>
          </w:p>
        </w:tc>
      </w:tr>
      <w:tr>
        <w:tc>
          <w:tcPr>
            <w:tcW w:type="dxa" w:w="2381"/>
          </w:tcPr>
          <w:p>
            <w:r/>
            <w:r>
              <w:rPr>
                <w:b/>
                <w:sz w:val="17"/>
              </w:rPr>
              <w:t>Clause / section</w:t>
            </w:r>
          </w:p>
        </w:tc>
        <w:tc>
          <w:tcPr>
            <w:tcW w:type="dxa" w:w="12643"/>
          </w:tcPr>
          <w:p>
            <w:r/>
            <w:r>
              <w:rPr>
                <w:b w:val="0"/>
                <w:sz w:val="18"/>
              </w:rPr>
              <w:t>Outcome 4; section 4 (text on insurance exclusions)</w:t>
            </w:r>
          </w:p>
        </w:tc>
      </w:tr>
      <w:tr>
        <w:tc>
          <w:tcPr>
            <w:tcW w:type="dxa" w:w="2381"/>
          </w:tcPr>
          <w:p>
            <w:r/>
            <w:r>
              <w:rPr>
                <w:b/>
                <w:sz w:val="17"/>
              </w:rPr>
              <w:t>URL</w:t>
            </w:r>
          </w:p>
        </w:tc>
        <w:tc>
          <w:tcPr>
            <w:tcW w:type="dxa" w:w="12643"/>
          </w:tcPr>
          <w:p>
            <w:r/>
            <w:r>
              <w:rPr>
                <w:b w:val="0"/>
                <w:sz w:val="18"/>
              </w:rPr>
              <w:t>https://www.mas.gov.sg/-/media/mas-media-library/fair-dealing-guidelines-30-may-2024.pdf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SG-MAS-02</w:t>
            </w:r>
          </w:p>
        </w:tc>
        <w:tc>
          <w:tcPr>
            <w:tcW w:type="dxa" w:w="12643"/>
            <w:shd w:val="clear" w:color="auto" w:fill="D9E2F3"/>
          </w:tcPr>
          <w:p>
            <w:r/>
            <w:r>
              <w:rPr>
                <w:b/>
                <w:sz w:val="18"/>
              </w:rPr>
              <w:t>Insurers – underwriting</w:t>
            </w:r>
          </w:p>
        </w:tc>
      </w:tr>
      <w:tr>
        <w:tc>
          <w:tcPr>
            <w:tcW w:type="dxa" w:w="2381"/>
          </w:tcPr>
          <w:p>
            <w:r/>
            <w:r>
              <w:rPr>
                <w:b/>
                <w:sz w:val="17"/>
              </w:rPr>
              <w:t>Rule</w:t>
            </w:r>
          </w:p>
        </w:tc>
        <w:tc>
          <w:tcPr>
            <w:tcW w:type="dxa" w:w="12643"/>
          </w:tcPr>
          <w:p>
            <w:r/>
            <w:r>
              <w:rPr>
                <w:b w:val="0"/>
                <w:sz w:val="18"/>
              </w:rPr>
              <w:t>Insurers should assess every application objectively based on the risks presented, substantiated by reliable data; rejecting an applicant merely for declaring autism, disability or a mental health condition without objective assessment is inappropriate differential treatment. Where an application is rejected or accepted with conditions (loading/exclusion), the insurer should explain the basis.</w:t>
            </w:r>
          </w:p>
        </w:tc>
      </w:tr>
      <w:tr>
        <w:tc>
          <w:tcPr>
            <w:tcW w:type="dxa" w:w="2381"/>
          </w:tcPr>
          <w:p>
            <w:r/>
            <w:r>
              <w:rPr>
                <w:b/>
                <w:sz w:val="17"/>
              </w:rPr>
              <w:t>Wording test</w:t>
            </w:r>
          </w:p>
        </w:tc>
        <w:tc>
          <w:tcPr>
            <w:tcW w:type="dxa" w:w="12643"/>
          </w:tcPr>
          <w:p>
            <w:r/>
            <w:r>
              <w:rPr>
                <w:b w:val="0"/>
                <w:sz w:val="18"/>
              </w:rPr>
              <w:t>Check underwriting exclusion endorsements and decline letters: is a reason/basis given? Flag blanket mental-health or disability exclusions applied at underwriting without individual assessment.</w:t>
            </w:r>
          </w:p>
        </w:tc>
      </w:tr>
      <w:tr>
        <w:tc>
          <w:tcPr>
            <w:tcW w:type="dxa" w:w="2381"/>
          </w:tcPr>
          <w:p>
            <w:r/>
            <w:r>
              <w:rPr>
                <w:b/>
                <w:sz w:val="17"/>
              </w:rPr>
              <w:t>Source</w:t>
            </w:r>
          </w:p>
        </w:tc>
        <w:tc>
          <w:tcPr>
            <w:tcW w:type="dxa" w:w="12643"/>
          </w:tcPr>
          <w:p>
            <w:r/>
            <w:r>
              <w:rPr>
                <w:b w:val="0"/>
                <w:sz w:val="18"/>
              </w:rPr>
              <w:t>Guidelines on Fair Dealing – Board and Senior Management Responsibilities for Delivering Fair Dealing Outcomes to Customers — MAS — FSG-G04 — Issued 3 Apr 2009; last revised 30 May 2024</w:t>
            </w:r>
          </w:p>
        </w:tc>
      </w:tr>
      <w:tr>
        <w:tc>
          <w:tcPr>
            <w:tcW w:type="dxa" w:w="2381"/>
          </w:tcPr>
          <w:p>
            <w:r/>
            <w:r>
              <w:rPr>
                <w:b/>
                <w:sz w:val="17"/>
              </w:rPr>
              <w:t>Clause / section</w:t>
            </w:r>
          </w:p>
        </w:tc>
        <w:tc>
          <w:tcPr>
            <w:tcW w:type="dxa" w:w="12643"/>
          </w:tcPr>
          <w:p>
            <w:r/>
            <w:r>
              <w:rPr>
                <w:b w:val="0"/>
                <w:sz w:val="18"/>
              </w:rPr>
              <w:t>Good practice 1.4 and supervisory expectations</w:t>
            </w:r>
          </w:p>
        </w:tc>
      </w:tr>
      <w:tr>
        <w:tc>
          <w:tcPr>
            <w:tcW w:type="dxa" w:w="2381"/>
          </w:tcPr>
          <w:p>
            <w:r/>
            <w:r>
              <w:rPr>
                <w:b/>
                <w:sz w:val="17"/>
              </w:rPr>
              <w:t>URL</w:t>
            </w:r>
          </w:p>
        </w:tc>
        <w:tc>
          <w:tcPr>
            <w:tcW w:type="dxa" w:w="12643"/>
          </w:tcPr>
          <w:p>
            <w:r/>
            <w:r>
              <w:rPr>
                <w:b w:val="0"/>
                <w:sz w:val="18"/>
              </w:rPr>
              <w:t>https://www.mas.gov.sg/-/media/mas-media-library/fair-dealing-guidelines-30-may-2024.pdf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SG-MAS-03</w:t>
            </w:r>
          </w:p>
        </w:tc>
        <w:tc>
          <w:tcPr>
            <w:tcW w:type="dxa" w:w="12643"/>
            <w:shd w:val="clear" w:color="auto" w:fill="D9E2F3"/>
          </w:tcPr>
          <w:p>
            <w:r/>
            <w:r>
              <w:rPr>
                <w:b/>
                <w:sz w:val="18"/>
              </w:rPr>
              <w:t>Insurers – service standards &amp; complaints</w:t>
            </w:r>
          </w:p>
        </w:tc>
      </w:tr>
      <w:tr>
        <w:tc>
          <w:tcPr>
            <w:tcW w:type="dxa" w:w="2381"/>
          </w:tcPr>
          <w:p>
            <w:r/>
            <w:r>
              <w:rPr>
                <w:b/>
                <w:sz w:val="17"/>
              </w:rPr>
              <w:t>Rule</w:t>
            </w:r>
          </w:p>
        </w:tc>
        <w:tc>
          <w:tcPr>
            <w:tcW w:type="dxa" w:w="12643"/>
          </w:tcPr>
          <w:p>
            <w:r/>
            <w:r>
              <w:rPr>
                <w:b w:val="0"/>
                <w:sz w:val="18"/>
              </w:rPr>
              <w:t>Boards should ensure clear service standards for key deliverables (e.g., processing of insurance claims) and frameworks to resolve complaints independently and in a timely manner (Outcome 5).</w:t>
            </w:r>
          </w:p>
        </w:tc>
      </w:tr>
      <w:tr>
        <w:tc>
          <w:tcPr>
            <w:tcW w:type="dxa" w:w="2381"/>
          </w:tcPr>
          <w:p>
            <w:r/>
            <w:r>
              <w:rPr>
                <w:b/>
                <w:sz w:val="17"/>
              </w:rPr>
              <w:t>Wording test</w:t>
            </w:r>
          </w:p>
        </w:tc>
        <w:tc>
          <w:tcPr>
            <w:tcW w:type="dxa" w:w="12643"/>
          </w:tcPr>
          <w:p>
            <w:r/>
            <w:r>
              <w:rPr>
                <w:b w:val="0"/>
                <w:sz w:val="18"/>
              </w:rPr>
              <w:t>Check whether the policy or customer guide states claims service standards and complaint handling steps; absence = observation (no MAS-prescribed timeline exists for health claims).</w:t>
            </w:r>
          </w:p>
        </w:tc>
      </w:tr>
      <w:tr>
        <w:tc>
          <w:tcPr>
            <w:tcW w:type="dxa" w:w="2381"/>
          </w:tcPr>
          <w:p>
            <w:r/>
            <w:r>
              <w:rPr>
                <w:b/>
                <w:sz w:val="17"/>
              </w:rPr>
              <w:t>Source</w:t>
            </w:r>
          </w:p>
        </w:tc>
        <w:tc>
          <w:tcPr>
            <w:tcW w:type="dxa" w:w="12643"/>
          </w:tcPr>
          <w:p>
            <w:r/>
            <w:r>
              <w:rPr>
                <w:b w:val="0"/>
                <w:sz w:val="18"/>
              </w:rPr>
              <w:t>Guidelines on Fair Dealing – Board and Senior Management Responsibilities for Delivering Fair Dealing Outcomes to Customers — MAS — FSG-G04 — Issued 3 Apr 2009; last revised 30 May 2024</w:t>
            </w:r>
          </w:p>
        </w:tc>
      </w:tr>
      <w:tr>
        <w:tc>
          <w:tcPr>
            <w:tcW w:type="dxa" w:w="2381"/>
          </w:tcPr>
          <w:p>
            <w:r/>
            <w:r>
              <w:rPr>
                <w:b/>
                <w:sz w:val="17"/>
              </w:rPr>
              <w:t>Clause / section</w:t>
            </w:r>
          </w:p>
        </w:tc>
        <w:tc>
          <w:tcPr>
            <w:tcW w:type="dxa" w:w="12643"/>
          </w:tcPr>
          <w:p>
            <w:r/>
            <w:r>
              <w:rPr>
                <w:b w:val="0"/>
                <w:sz w:val="18"/>
              </w:rPr>
              <w:t>para 1.3.1(c); Outcome 5</w:t>
            </w:r>
          </w:p>
        </w:tc>
      </w:tr>
      <w:tr>
        <w:tc>
          <w:tcPr>
            <w:tcW w:type="dxa" w:w="2381"/>
          </w:tcPr>
          <w:p>
            <w:r/>
            <w:r>
              <w:rPr>
                <w:b/>
                <w:sz w:val="17"/>
              </w:rPr>
              <w:t>URL</w:t>
            </w:r>
          </w:p>
        </w:tc>
        <w:tc>
          <w:tcPr>
            <w:tcW w:type="dxa" w:w="12643"/>
          </w:tcPr>
          <w:p>
            <w:r/>
            <w:r>
              <w:rPr>
                <w:b w:val="0"/>
                <w:sz w:val="18"/>
              </w:rPr>
              <w:t>https://www.mas.gov.sg/-/media/mas-media-library/fair-dealing-guidelines-30-may-2024.pdf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SG-MAS-04</w:t>
            </w:r>
          </w:p>
        </w:tc>
        <w:tc>
          <w:tcPr>
            <w:tcW w:type="dxa" w:w="12643"/>
            <w:shd w:val="clear" w:color="auto" w:fill="D9E2F3"/>
          </w:tcPr>
          <w:p>
            <w:r/>
            <w:r>
              <w:rPr>
                <w:b/>
                <w:sz w:val="18"/>
              </w:rPr>
              <w:t>Insurers &amp; representatives – duty of disclosure</w:t>
            </w:r>
          </w:p>
        </w:tc>
      </w:tr>
      <w:tr>
        <w:tc>
          <w:tcPr>
            <w:tcW w:type="dxa" w:w="2381"/>
          </w:tcPr>
          <w:p>
            <w:r/>
            <w:r>
              <w:rPr>
                <w:b/>
                <w:sz w:val="17"/>
              </w:rPr>
              <w:t>Rule</w:t>
            </w:r>
          </w:p>
        </w:tc>
        <w:tc>
          <w:tcPr>
            <w:tcW w:type="dxa" w:w="12643"/>
          </w:tcPr>
          <w:p>
            <w:r/>
            <w:r>
              <w:rPr>
                <w:b w:val="0"/>
                <w:sz w:val="18"/>
              </w:rPr>
              <w:t>Utmost good faith applies; insurer and representative must remind customers to disclose material facts and highlight consequences of non-disclosure (claims rejected / policy voided).</w:t>
            </w:r>
          </w:p>
        </w:tc>
      </w:tr>
      <w:tr>
        <w:tc>
          <w:tcPr>
            <w:tcW w:type="dxa" w:w="2381"/>
          </w:tcPr>
          <w:p>
            <w:r/>
            <w:r>
              <w:rPr>
                <w:b/>
                <w:sz w:val="17"/>
              </w:rPr>
              <w:t>Wording test</w:t>
            </w:r>
          </w:p>
        </w:tc>
        <w:tc>
          <w:tcPr>
            <w:tcW w:type="dxa" w:w="12643"/>
          </w:tcPr>
          <w:p>
            <w:r/>
            <w:r>
              <w:rPr>
                <w:b w:val="0"/>
                <w:sz w:val="18"/>
              </w:rPr>
              <w:t>Check proposal form and product summary explain consequences of non-disclosure (links to SG-IA-01 and Notice 120 para 17(c)(iii)).</w:t>
            </w:r>
          </w:p>
        </w:tc>
      </w:tr>
      <w:tr>
        <w:tc>
          <w:tcPr>
            <w:tcW w:type="dxa" w:w="2381"/>
          </w:tcPr>
          <w:p>
            <w:r/>
            <w:r>
              <w:rPr>
                <w:b/>
                <w:sz w:val="17"/>
              </w:rPr>
              <w:t>Source</w:t>
            </w:r>
          </w:p>
        </w:tc>
        <w:tc>
          <w:tcPr>
            <w:tcW w:type="dxa" w:w="12643"/>
          </w:tcPr>
          <w:p>
            <w:r/>
            <w:r>
              <w:rPr>
                <w:b w:val="0"/>
                <w:sz w:val="18"/>
              </w:rPr>
              <w:t>Guidelines on Fair Dealing – Board and Senior Management Responsibilities for Delivering Fair Dealing Outcomes to Customers — MAS — FSG-G04 — Issued 3 Apr 2009; last revised 30 May 2024</w:t>
            </w:r>
          </w:p>
        </w:tc>
      </w:tr>
      <w:tr>
        <w:tc>
          <w:tcPr>
            <w:tcW w:type="dxa" w:w="2381"/>
          </w:tcPr>
          <w:p>
            <w:r/>
            <w:r>
              <w:rPr>
                <w:b/>
                <w:sz w:val="17"/>
              </w:rPr>
              <w:t>Clause / section</w:t>
            </w:r>
          </w:p>
        </w:tc>
        <w:tc>
          <w:tcPr>
            <w:tcW w:type="dxa" w:w="12643"/>
          </w:tcPr>
          <w:p>
            <w:r/>
            <w:r>
              <w:rPr>
                <w:b w:val="0"/>
                <w:sz w:val="18"/>
              </w:rPr>
              <w:t>Poor practice 4.6 and footnote 9</w:t>
            </w:r>
          </w:p>
        </w:tc>
      </w:tr>
      <w:tr>
        <w:tc>
          <w:tcPr>
            <w:tcW w:type="dxa" w:w="2381"/>
          </w:tcPr>
          <w:p>
            <w:r/>
            <w:r>
              <w:rPr>
                <w:b/>
                <w:sz w:val="17"/>
              </w:rPr>
              <w:t>URL</w:t>
            </w:r>
          </w:p>
        </w:tc>
        <w:tc>
          <w:tcPr>
            <w:tcW w:type="dxa" w:w="12643"/>
          </w:tcPr>
          <w:p>
            <w:r/>
            <w:r>
              <w:rPr>
                <w:b w:val="0"/>
                <w:sz w:val="18"/>
              </w:rPr>
              <w:t>https://www.mas.gov.sg/-/media/mas-media-library/fair-dealing-guidelines-30-may-2024.pdf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SG-MAS-05</w:t>
            </w:r>
          </w:p>
        </w:tc>
        <w:tc>
          <w:tcPr>
            <w:tcW w:type="dxa" w:w="12643"/>
            <w:shd w:val="clear" w:color="auto" w:fill="D9E2F3"/>
          </w:tcPr>
          <w:p>
            <w:r/>
            <w:r>
              <w:rPr>
                <w:b/>
                <w:sz w:val="18"/>
              </w:rPr>
              <w:t>All insurers – claims handling</w:t>
            </w:r>
          </w:p>
        </w:tc>
      </w:tr>
      <w:tr>
        <w:tc>
          <w:tcPr>
            <w:tcW w:type="dxa" w:w="2381"/>
          </w:tcPr>
          <w:p>
            <w:r/>
            <w:r>
              <w:rPr>
                <w:b/>
                <w:sz w:val="17"/>
              </w:rPr>
              <w:t>Rule</w:t>
            </w:r>
          </w:p>
        </w:tc>
        <w:tc>
          <w:tcPr>
            <w:tcW w:type="dxa" w:w="12643"/>
          </w:tcPr>
          <w:p>
            <w:r/>
            <w:r>
              <w:rPr>
                <w:b w:val="0"/>
                <w:sz w:val="18"/>
              </w:rPr>
              <w:t>Insurers should have a clear claim notification process; claim forms should be reviewed regularly so questions are clear, unambiguous and pertinent; documented claims handling guidelines (documents required, exclusions, liens, settlement calculation, ex-gratia policy); quality reviews incl. complaints on claim decisions and delays.</w:t>
            </w:r>
          </w:p>
        </w:tc>
      </w:tr>
      <w:tr>
        <w:tc>
          <w:tcPr>
            <w:tcW w:type="dxa" w:w="2381"/>
          </w:tcPr>
          <w:p>
            <w:r/>
            <w:r>
              <w:rPr>
                <w:b/>
                <w:sz w:val="17"/>
              </w:rPr>
              <w:t>Wording test</w:t>
            </w:r>
          </w:p>
        </w:tc>
        <w:tc>
          <w:tcPr>
            <w:tcW w:type="dxa" w:w="12643"/>
          </w:tcPr>
          <w:p>
            <w:r/>
            <w:r>
              <w:rPr>
                <w:b w:val="0"/>
                <w:sz w:val="18"/>
              </w:rPr>
              <w:t>Check claim forms/claims clause: required documents listed, time limits for notification stated, no ambiguous questions. Ask insurer for claims guideline only in an audit (not a wording test).</w:t>
            </w:r>
          </w:p>
        </w:tc>
      </w:tr>
      <w:tr>
        <w:tc>
          <w:tcPr>
            <w:tcW w:type="dxa" w:w="2381"/>
          </w:tcPr>
          <w:p>
            <w:r/>
            <w:r>
              <w:rPr>
                <w:b/>
                <w:sz w:val="17"/>
              </w:rPr>
              <w:t>Source</w:t>
            </w:r>
          </w:p>
        </w:tc>
        <w:tc>
          <w:tcPr>
            <w:tcW w:type="dxa" w:w="12643"/>
          </w:tcPr>
          <w:p>
            <w:r/>
            <w:r>
              <w:rPr>
                <w:b w:val="0"/>
                <w:sz w:val="18"/>
              </w:rPr>
              <w:t>Guidelines on Risk Management Practices for Insurance Business – Core Activities — MAS — (no notice number; MAS Guidelines) — January 2024 (in effect from 10 Jan 2024)</w:t>
            </w:r>
          </w:p>
        </w:tc>
      </w:tr>
      <w:tr>
        <w:tc>
          <w:tcPr>
            <w:tcW w:type="dxa" w:w="2381"/>
          </w:tcPr>
          <w:p>
            <w:r/>
            <w:r>
              <w:rPr>
                <w:b/>
                <w:sz w:val="17"/>
              </w:rPr>
              <w:t>Clause / section</w:t>
            </w:r>
          </w:p>
        </w:tc>
        <w:tc>
          <w:tcPr>
            <w:tcW w:type="dxa" w:w="12643"/>
          </w:tcPr>
          <w:p>
            <w:r/>
            <w:r>
              <w:rPr>
                <w:b w:val="0"/>
                <w:sz w:val="18"/>
              </w:rPr>
              <w:t>paras 3.5.4.1-3.5.4.7, 3.5.5.1-3.5.5.3</w:t>
            </w:r>
          </w:p>
        </w:tc>
      </w:tr>
      <w:tr>
        <w:tc>
          <w:tcPr>
            <w:tcW w:type="dxa" w:w="2381"/>
          </w:tcPr>
          <w:p>
            <w:r/>
            <w:r>
              <w:rPr>
                <w:b/>
                <w:sz w:val="17"/>
              </w:rPr>
              <w:t>URL</w:t>
            </w:r>
          </w:p>
        </w:tc>
        <w:tc>
          <w:tcPr>
            <w:tcW w:type="dxa" w:w="12643"/>
          </w:tcPr>
          <w:p>
            <w:r/>
            <w:r>
              <w:rPr>
                <w:b w:val="0"/>
                <w:sz w:val="18"/>
              </w:rPr>
              <w:t>https://www.mas.gov.sg/-/media/mas-media-library/regulation/guidelines/id/guidelines-on-risk-management-practices-for-insurance-business---core-activities/guidelines-on-risk-management-practices-for-insurance-business---core-activities_10-jan-2024.pdf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SG-MAS-06</w:t>
            </w:r>
          </w:p>
        </w:tc>
        <w:tc>
          <w:tcPr>
            <w:tcW w:type="dxa" w:w="12643"/>
            <w:shd w:val="clear" w:color="auto" w:fill="D9E2F3"/>
          </w:tcPr>
          <w:p>
            <w:r/>
            <w:r>
              <w:rPr>
                <w:b/>
                <w:sz w:val="18"/>
              </w:rPr>
              <w:t>Direct life insurers (life policies incl. those with A&amp;H benefits)</w:t>
            </w:r>
          </w:p>
        </w:tc>
      </w:tr>
      <w:tr>
        <w:tc>
          <w:tcPr>
            <w:tcW w:type="dxa" w:w="2381"/>
          </w:tcPr>
          <w:p>
            <w:r/>
            <w:r>
              <w:rPr>
                <w:b/>
                <w:sz w:val="17"/>
              </w:rPr>
              <w:t>Rule</w:t>
            </w:r>
          </w:p>
        </w:tc>
        <w:tc>
          <w:tcPr>
            <w:tcW w:type="dxa" w:w="12643"/>
          </w:tcPr>
          <w:p>
            <w:r/>
            <w:r>
              <w:rPr>
                <w:b w:val="0"/>
                <w:sz w:val="18"/>
              </w:rPr>
              <w:t>Life insurers must ensure client documents comply with the Act, Notices and FAA-N03; information must be clear, adequate and not misleading; prepare product summary (and cover page/policy illustration as applicable); warn of disadvantages of replacing a policy and, on replacement, offer to return premiums on the new policy if the client decides not to replace.</w:t>
            </w:r>
          </w:p>
        </w:tc>
      </w:tr>
      <w:tr>
        <w:tc>
          <w:tcPr>
            <w:tcW w:type="dxa" w:w="2381"/>
          </w:tcPr>
          <w:p>
            <w:r/>
            <w:r>
              <w:rPr>
                <w:b/>
                <w:sz w:val="17"/>
              </w:rPr>
              <w:t>Wording test</w:t>
            </w:r>
          </w:p>
        </w:tc>
        <w:tc>
          <w:tcPr>
            <w:tcW w:type="dxa" w:w="12643"/>
          </w:tcPr>
          <w:p>
            <w:r/>
            <w:r>
              <w:rPr>
                <w:b w:val="0"/>
                <w:sz w:val="18"/>
              </w:rPr>
              <w:t>For life policies with A&amp;H benefits (e.g., whole-life with CI acceleration): check replacement questions in proposal form and replacement warning letter.</w:t>
            </w:r>
          </w:p>
        </w:tc>
      </w:tr>
      <w:tr>
        <w:tc>
          <w:tcPr>
            <w:tcW w:type="dxa" w:w="2381"/>
          </w:tcPr>
          <w:p>
            <w:r/>
            <w:r>
              <w:rPr>
                <w:b/>
                <w:sz w:val="17"/>
              </w:rPr>
              <w:t>Source</w:t>
            </w:r>
          </w:p>
        </w:tc>
        <w:tc>
          <w:tcPr>
            <w:tcW w:type="dxa" w:w="12643"/>
          </w:tcPr>
          <w:p>
            <w:r/>
            <w:r>
              <w:rPr>
                <w:b w:val="0"/>
                <w:sz w:val="18"/>
              </w:rPr>
              <w:t>Market Conduct Standards for Direct Life Insurer as a Product Provider — MAS — MAS Notice 318 — Issued 1 Oct 2002; last revised 29 Jun 2018 (effective 2 Jul 2018)</w:t>
            </w:r>
          </w:p>
        </w:tc>
      </w:tr>
      <w:tr>
        <w:tc>
          <w:tcPr>
            <w:tcW w:type="dxa" w:w="2381"/>
          </w:tcPr>
          <w:p>
            <w:r/>
            <w:r>
              <w:rPr>
                <w:b/>
                <w:sz w:val="17"/>
              </w:rPr>
              <w:t>Clause / section</w:t>
            </w:r>
          </w:p>
        </w:tc>
        <w:tc>
          <w:tcPr>
            <w:tcW w:type="dxa" w:w="12643"/>
          </w:tcPr>
          <w:p>
            <w:r/>
            <w:r>
              <w:rPr>
                <w:b w:val="0"/>
                <w:sz w:val="18"/>
              </w:rPr>
              <w:t>paras 3, 3A, 4, 7, 8</w:t>
            </w:r>
          </w:p>
        </w:tc>
      </w:tr>
      <w:tr>
        <w:tc>
          <w:tcPr>
            <w:tcW w:type="dxa" w:w="2381"/>
          </w:tcPr>
          <w:p>
            <w:r/>
            <w:r>
              <w:rPr>
                <w:b/>
                <w:sz w:val="17"/>
              </w:rPr>
              <w:t>URL</w:t>
            </w:r>
          </w:p>
        </w:tc>
        <w:tc>
          <w:tcPr>
            <w:tcW w:type="dxa" w:w="12643"/>
          </w:tcPr>
          <w:p>
            <w:r/>
            <w:r>
              <w:rPr>
                <w:b w:val="0"/>
                <w:sz w:val="18"/>
              </w:rPr>
              <w:t>https://www.mas.gov.sg/-/media/mas/notices/pdf/mas-notice-318-published-version-2018.pdf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SG-MAS-07</w:t>
            </w:r>
          </w:p>
        </w:tc>
        <w:tc>
          <w:tcPr>
            <w:tcW w:type="dxa" w:w="12643"/>
            <w:shd w:val="clear" w:color="auto" w:fill="D9E2F3"/>
          </w:tcPr>
          <w:p>
            <w:r/>
            <w:r>
              <w:rPr>
                <w:b/>
                <w:sz w:val="18"/>
              </w:rPr>
              <w:t>Licensed financial advisers – life policies</w:t>
            </w:r>
          </w:p>
        </w:tc>
      </w:tr>
      <w:tr>
        <w:tc>
          <w:tcPr>
            <w:tcW w:type="dxa" w:w="2381"/>
          </w:tcPr>
          <w:p>
            <w:r/>
            <w:r>
              <w:rPr>
                <w:b/>
                <w:sz w:val="17"/>
              </w:rPr>
              <w:t>Rule</w:t>
            </w:r>
          </w:p>
        </w:tc>
        <w:tc>
          <w:tcPr>
            <w:tcW w:type="dxa" w:w="12643"/>
          </w:tcPr>
          <w:p>
            <w:r/>
            <w:r>
              <w:rPr>
                <w:b w:val="0"/>
                <w:sz w:val="18"/>
              </w:rPr>
              <w:t>Life policies are 'investment products' under the FAA. A licensed FA must disclose all material information on recommended designated investment products (terms, benefits, risks, premium/charges, insurer name and relationship) and must have a reasonable basis for any recommendation.</w:t>
            </w:r>
          </w:p>
        </w:tc>
      </w:tr>
      <w:tr>
        <w:tc>
          <w:tcPr>
            <w:tcW w:type="dxa" w:w="2381"/>
          </w:tcPr>
          <w:p>
            <w:r/>
            <w:r>
              <w:rPr>
                <w:b/>
                <w:sz w:val="17"/>
              </w:rPr>
              <w:t>Wording test</w:t>
            </w:r>
          </w:p>
        </w:tc>
        <w:tc>
          <w:tcPr>
            <w:tcW w:type="dxa" w:w="12643"/>
          </w:tcPr>
          <w:p>
            <w:r/>
            <w:r>
              <w:rPr>
                <w:b w:val="0"/>
                <w:sz w:val="18"/>
              </w:rPr>
              <w:t>Sales-process check for life policies carrying A&amp;H benefits (Notice 120 paras 26, 47 defer to FAA for these).</w:t>
            </w:r>
          </w:p>
        </w:tc>
      </w:tr>
      <w:tr>
        <w:tc>
          <w:tcPr>
            <w:tcW w:type="dxa" w:w="2381"/>
          </w:tcPr>
          <w:p>
            <w:r/>
            <w:r>
              <w:rPr>
                <w:b/>
                <w:sz w:val="17"/>
              </w:rPr>
              <w:t>Source</w:t>
            </w:r>
          </w:p>
        </w:tc>
        <w:tc>
          <w:tcPr>
            <w:tcW w:type="dxa" w:w="12643"/>
          </w:tcPr>
          <w:p>
            <w:r/>
            <w:r>
              <w:rPr>
                <w:b w:val="0"/>
                <w:sz w:val="18"/>
              </w:rPr>
              <w:t>Financial Advisers Act 2001 — Parliament of Singapore / AGC (SSO); administered by MAS — Financial Advisers Act 2001 — Current version as at 18 Oct 2026</w:t>
            </w:r>
          </w:p>
        </w:tc>
      </w:tr>
      <w:tr>
        <w:tc>
          <w:tcPr>
            <w:tcW w:type="dxa" w:w="2381"/>
          </w:tcPr>
          <w:p>
            <w:r/>
            <w:r>
              <w:rPr>
                <w:b/>
                <w:sz w:val="17"/>
              </w:rPr>
              <w:t>Clause / section</w:t>
            </w:r>
          </w:p>
        </w:tc>
        <w:tc>
          <w:tcPr>
            <w:tcW w:type="dxa" w:w="12643"/>
          </w:tcPr>
          <w:p>
            <w:r/>
            <w:r>
              <w:rPr>
                <w:b w:val="0"/>
                <w:sz w:val="18"/>
              </w:rPr>
              <w:t>s 2 ('investment product', 'life policy'); s 34(1); s 36(1)-(2)</w:t>
            </w:r>
          </w:p>
        </w:tc>
      </w:tr>
      <w:tr>
        <w:tc>
          <w:tcPr>
            <w:tcW w:type="dxa" w:w="2381"/>
          </w:tcPr>
          <w:p>
            <w:r/>
            <w:r>
              <w:rPr>
                <w:b/>
                <w:sz w:val="17"/>
              </w:rPr>
              <w:t>URL</w:t>
            </w:r>
          </w:p>
        </w:tc>
        <w:tc>
          <w:tcPr>
            <w:tcW w:type="dxa" w:w="12643"/>
          </w:tcPr>
          <w:p>
            <w:r/>
            <w:r>
              <w:rPr>
                <w:b w:val="0"/>
                <w:sz w:val="18"/>
              </w:rPr>
              <w:t>https://sso.agc.gov.sg/Act/FAA2001</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SG-MAS-08</w:t>
            </w:r>
          </w:p>
        </w:tc>
        <w:tc>
          <w:tcPr>
            <w:tcW w:type="dxa" w:w="12643"/>
            <w:shd w:val="clear" w:color="auto" w:fill="D9E2F3"/>
          </w:tcPr>
          <w:p>
            <w:r/>
            <w:r>
              <w:rPr>
                <w:b/>
                <w:sz w:val="18"/>
              </w:rPr>
              <w:t>A&amp;H intermediaries selling IPs</w:t>
            </w:r>
          </w:p>
        </w:tc>
      </w:tr>
      <w:tr>
        <w:tc>
          <w:tcPr>
            <w:tcW w:type="dxa" w:w="2381"/>
          </w:tcPr>
          <w:p>
            <w:r/>
            <w:r>
              <w:rPr>
                <w:b/>
                <w:sz w:val="17"/>
              </w:rPr>
              <w:t>Rule</w:t>
            </w:r>
          </w:p>
        </w:tc>
        <w:tc>
          <w:tcPr>
            <w:tcW w:type="dxa" w:w="12643"/>
          </w:tcPr>
          <w:p>
            <w:r/>
            <w:r>
              <w:rPr>
                <w:b w:val="0"/>
                <w:sz w:val="18"/>
              </w:rPr>
              <w:t>MAS expects IP sales to adequately explain: the two IP components; effect of ward/hospital choice on bill size and subsidies; pre-/post-hospitalisation and outpatient benefits; deductible and co-insurance; age-escalating and non-guaranteed premiums; Additional Withdrawal Limits and cash outlay; impact on Additional Premium Support; claims-based pricing; upgrade/downgrade implications; optional nature of riders; and restriction on MediSave for riders.</w:t>
            </w:r>
          </w:p>
        </w:tc>
      </w:tr>
      <w:tr>
        <w:tc>
          <w:tcPr>
            <w:tcW w:type="dxa" w:w="2381"/>
          </w:tcPr>
          <w:p>
            <w:r/>
            <w:r>
              <w:rPr>
                <w:b/>
                <w:sz w:val="17"/>
              </w:rPr>
              <w:t>Wording test</w:t>
            </w:r>
          </w:p>
        </w:tc>
        <w:tc>
          <w:tcPr>
            <w:tcW w:type="dxa" w:w="12643"/>
          </w:tcPr>
          <w:p>
            <w:r/>
            <w:r>
              <w:rPr>
                <w:b w:val="0"/>
                <w:sz w:val="18"/>
              </w:rPr>
              <w:t>Use as a checklist for product summary / customer guide completeness on IPs and riders; especially claims-based pricing disclosure if the plan uses it.</w:t>
            </w:r>
          </w:p>
        </w:tc>
      </w:tr>
      <w:tr>
        <w:tc>
          <w:tcPr>
            <w:tcW w:type="dxa" w:w="2381"/>
          </w:tcPr>
          <w:p>
            <w:r/>
            <w:r>
              <w:rPr>
                <w:b/>
                <w:sz w:val="17"/>
              </w:rPr>
              <w:t>Source</w:t>
            </w:r>
          </w:p>
        </w:tc>
        <w:tc>
          <w:tcPr>
            <w:tcW w:type="dxa" w:w="12643"/>
          </w:tcPr>
          <w:p>
            <w:r/>
            <w:r>
              <w:rPr>
                <w:b w:val="0"/>
                <w:sz w:val="18"/>
              </w:rPr>
              <w:t>Information Paper: Strengthening Advisory and Sales Processes for Long-Term Accident and Health Policies — MAS — (Information Paper) — April 2025</w:t>
            </w:r>
          </w:p>
        </w:tc>
      </w:tr>
      <w:tr>
        <w:tc>
          <w:tcPr>
            <w:tcW w:type="dxa" w:w="2381"/>
          </w:tcPr>
          <w:p>
            <w:r/>
            <w:r>
              <w:rPr>
                <w:b/>
                <w:sz w:val="17"/>
              </w:rPr>
              <w:t>Clause / section</w:t>
            </w:r>
          </w:p>
        </w:tc>
        <w:tc>
          <w:tcPr>
            <w:tcW w:type="dxa" w:w="12643"/>
          </w:tcPr>
          <w:p>
            <w:r/>
            <w:r>
              <w:rPr>
                <w:b w:val="0"/>
                <w:sz w:val="18"/>
              </w:rPr>
              <w:t>Poor Practice 3.1C – areas for enhancement</w:t>
            </w:r>
          </w:p>
        </w:tc>
      </w:tr>
      <w:tr>
        <w:tc>
          <w:tcPr>
            <w:tcW w:type="dxa" w:w="2381"/>
          </w:tcPr>
          <w:p>
            <w:r/>
            <w:r>
              <w:rPr>
                <w:b/>
                <w:sz w:val="17"/>
              </w:rPr>
              <w:t>URL</w:t>
            </w:r>
          </w:p>
        </w:tc>
        <w:tc>
          <w:tcPr>
            <w:tcW w:type="dxa" w:w="12643"/>
          </w:tcPr>
          <w:p>
            <w:r/>
            <w:r>
              <w:rPr>
                <w:b w:val="0"/>
                <w:sz w:val="18"/>
              </w:rPr>
              <w:t>https://www.mas.gov.sg/-/media/mas/publications/information-papers/information-paper-on-strengthening-advisory-and-sales-processes-for-lt-ah-policies.pdf</w:t>
            </w:r>
          </w:p>
        </w:tc>
      </w:tr>
      <w:tr>
        <w:tc>
          <w:tcPr>
            <w:tcW w:type="dxa" w:w="2381"/>
          </w:tcPr>
          <w:p>
            <w:r/>
            <w:r>
              <w:rPr>
                <w:b/>
                <w:sz w:val="17"/>
              </w:rPr>
              <w:t>Verification</w:t>
            </w:r>
          </w:p>
        </w:tc>
        <w:tc>
          <w:tcPr>
            <w:tcW w:type="dxa" w:w="12643"/>
          </w:tcPr>
          <w:p>
            <w:r/>
            <w:r>
              <w:rPr>
                <w:b w:val="0"/>
                <w:sz w:val="18"/>
              </w:rPr>
              <w:t>Verified – primary text read — Information papers set supervisory expectations; they are not legally binding notices.</w:t>
            </w:r>
          </w:p>
        </w:tc>
      </w:tr>
    </w:tbl>
    <w:p/>
    <w:p>
      <w:pPr>
        <w:pStyle w:val="Heading2"/>
      </w:pPr>
      <w:r>
        <w:t>7. LIA / GIA industry standards</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SG-LG-01</w:t>
            </w:r>
          </w:p>
        </w:tc>
        <w:tc>
          <w:tcPr>
            <w:tcW w:type="dxa" w:w="12643"/>
            <w:shd w:val="clear" w:color="auto" w:fill="D9E2F3"/>
          </w:tcPr>
          <w:p>
            <w:r/>
            <w:r>
              <w:rPr>
                <w:b/>
                <w:sz w:val="18"/>
              </w:rPr>
              <w:t>Individual health policies &amp; life policies with health benefits</w:t>
            </w:r>
          </w:p>
        </w:tc>
      </w:tr>
      <w:tr>
        <w:tc>
          <w:tcPr>
            <w:tcW w:type="dxa" w:w="2381"/>
          </w:tcPr>
          <w:p>
            <w:r/>
            <w:r>
              <w:rPr>
                <w:b/>
                <w:sz w:val="17"/>
              </w:rPr>
              <w:t>Rule</w:t>
            </w:r>
          </w:p>
        </w:tc>
        <w:tc>
          <w:tcPr>
            <w:tcW w:type="dxa" w:w="12643"/>
          </w:tcPr>
          <w:p>
            <w:r/>
            <w:r>
              <w:rPr>
                <w:b w:val="0"/>
                <w:sz w:val="18"/>
              </w:rPr>
              <w:t>Mandatory pre-sale documents when advice is given: 'Your Guide to Health Insurance' (reproduced verbatim, incl. infographic 'Evaluating my Health Insurance Coverage') and the Product Summary. Applicants must acknowledge reading them and insurers keep records. Not needed at renewal or change of servicing agent unless replacing a policy.</w:t>
            </w:r>
          </w:p>
        </w:tc>
      </w:tr>
      <w:tr>
        <w:tc>
          <w:tcPr>
            <w:tcW w:type="dxa" w:w="2381"/>
          </w:tcPr>
          <w:p>
            <w:r/>
            <w:r>
              <w:rPr>
                <w:b/>
                <w:sz w:val="17"/>
              </w:rPr>
              <w:t>Wording test</w:t>
            </w:r>
          </w:p>
        </w:tc>
        <w:tc>
          <w:tcPr>
            <w:tcW w:type="dxa" w:w="12643"/>
          </w:tcPr>
          <w:p>
            <w:r/>
            <w:r>
              <w:rPr>
                <w:b w:val="0"/>
                <w:sz w:val="18"/>
              </w:rPr>
              <w:t>Check acknowledgement wording in proposal form; check product summary exists for each individual health product.</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paras 4-5, 7</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SG-LG-02</w:t>
            </w:r>
          </w:p>
        </w:tc>
        <w:tc>
          <w:tcPr>
            <w:tcW w:type="dxa" w:w="12643"/>
            <w:shd w:val="clear" w:color="auto" w:fill="D9E2F3"/>
          </w:tcPr>
          <w:p>
            <w:r/>
            <w:r>
              <w:rPr>
                <w:b/>
                <w:sz w:val="18"/>
              </w:rPr>
              <w:t>Product summary content (A&amp;H)</w:t>
            </w:r>
          </w:p>
        </w:tc>
      </w:tr>
      <w:tr>
        <w:tc>
          <w:tcPr>
            <w:tcW w:type="dxa" w:w="2381"/>
          </w:tcPr>
          <w:p>
            <w:r/>
            <w:r>
              <w:rPr>
                <w:b/>
                <w:sz w:val="17"/>
              </w:rPr>
              <w:t>Rule</w:t>
            </w:r>
          </w:p>
        </w:tc>
        <w:tc>
          <w:tcPr>
            <w:tcW w:type="dxa" w:w="12643"/>
          </w:tcPr>
          <w:p>
            <w:r/>
            <w:r>
              <w:rPr>
                <w:b w:val="0"/>
                <w:sz w:val="18"/>
              </w:rPr>
              <w:t>Product summary must disclose (para 15): insurer name/address; nature &amp; objective; benefits schedule incl. covered events &amp; key definitions, limits per event, deductible/co-insurance, annual/lifetime limits; amount/timing of payment; premium rates (table if not level); premium payment duration; whether premiums are non-guaranteed; duration of cover; Total Distribution Costs; insurer cancellation/termination and alteration rights; renewability terms incl. LAST AGE OF RENEWAL; waiting period; ADL definitions (if used); benefit limitations, exclusions &amp; lien; other circumstances affecting premium/benefits (e.g., occupation/residence change); deferment/survival periods; free-look period and procedure; claims restrictions &amp; charges; termination restrictions &amp; charges; switching warning; contractual rights &amp; obligations; non-MediSave statement; short-term renewability statements.</w:t>
            </w:r>
          </w:p>
        </w:tc>
      </w:tr>
      <w:tr>
        <w:tc>
          <w:tcPr>
            <w:tcW w:type="dxa" w:w="2381"/>
          </w:tcPr>
          <w:p>
            <w:r/>
            <w:r>
              <w:rPr>
                <w:b/>
                <w:sz w:val="17"/>
              </w:rPr>
              <w:t>Wording test</w:t>
            </w:r>
          </w:p>
        </w:tc>
        <w:tc>
          <w:tcPr>
            <w:tcW w:type="dxa" w:w="12643"/>
          </w:tcPr>
          <w:p>
            <w:r/>
            <w:r>
              <w:rPr>
                <w:b w:val="0"/>
                <w:sz w:val="18"/>
              </w:rPr>
              <w:t>Run the 25-item (a)-(y) checklist against the product summary; record each missing item.</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 15(a)-(y)</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SG-LG-03</w:t>
            </w:r>
          </w:p>
        </w:tc>
        <w:tc>
          <w:tcPr>
            <w:tcW w:type="dxa" w:w="12643"/>
            <w:shd w:val="clear" w:color="auto" w:fill="D9E2F3"/>
          </w:tcPr>
          <w:p>
            <w:r/>
            <w:r>
              <w:rPr>
                <w:b/>
                <w:sz w:val="18"/>
              </w:rPr>
              <w:t>Waiting periods (H&amp;S, CI, LTC, DI)</w:t>
            </w:r>
          </w:p>
        </w:tc>
      </w:tr>
      <w:tr>
        <w:tc>
          <w:tcPr>
            <w:tcW w:type="dxa" w:w="2381"/>
          </w:tcPr>
          <w:p>
            <w:r/>
            <w:r>
              <w:rPr>
                <w:b/>
                <w:sz w:val="17"/>
              </w:rPr>
              <w:t>Rule</w:t>
            </w:r>
          </w:p>
        </w:tc>
        <w:tc>
          <w:tcPr>
            <w:tcW w:type="dxa" w:w="12643"/>
          </w:tcPr>
          <w:p>
            <w:r/>
            <w:r>
              <w:rPr>
                <w:b w:val="0"/>
                <w:sz w:val="18"/>
              </w:rPr>
              <w:t>Insurers may independently determine waiting periods but must clearly state them. Specimen: no benefits if the illness/disorder causing hospitalisation or surgery is diagnosed within &lt;XX&gt; days of the later of issue, endorsement or reinstatement.</w:t>
            </w:r>
          </w:p>
        </w:tc>
      </w:tr>
      <w:tr>
        <w:tc>
          <w:tcPr>
            <w:tcW w:type="dxa" w:w="2381"/>
          </w:tcPr>
          <w:p>
            <w:r/>
            <w:r>
              <w:rPr>
                <w:b/>
                <w:sz w:val="17"/>
              </w:rPr>
              <w:t>Wording test</w:t>
            </w:r>
          </w:p>
        </w:tc>
        <w:tc>
          <w:tcPr>
            <w:tcW w:type="dxa" w:w="12643"/>
          </w:tcPr>
          <w:p>
            <w:r/>
            <w:r>
              <w:rPr>
                <w:b w:val="0"/>
                <w:sz w:val="18"/>
              </w:rPr>
              <w:t>Check the waiting period length and trigger (diagnosis date vs symptom onset vs treatment) and that it restarts only on issue/endorsement/reinstatement. Flag any waiting period that applies to accidents or that runs from a later trigger than the specimen. There is NO regulatory maximum waiting period (contrast IRDAI).</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 15(l); Appendix I item 5</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SG-LG-04</w:t>
            </w:r>
          </w:p>
        </w:tc>
        <w:tc>
          <w:tcPr>
            <w:tcW w:type="dxa" w:w="12643"/>
            <w:shd w:val="clear" w:color="auto" w:fill="D9E2F3"/>
          </w:tcPr>
          <w:p>
            <w:r/>
            <w:r>
              <w:rPr>
                <w:b/>
                <w:sz w:val="18"/>
              </w:rPr>
              <w:t>Pre-existing condition definition (H&amp;S plans)</w:t>
            </w:r>
          </w:p>
        </w:tc>
      </w:tr>
      <w:tr>
        <w:tc>
          <w:tcPr>
            <w:tcW w:type="dxa" w:w="2381"/>
          </w:tcPr>
          <w:p>
            <w:r/>
            <w:r>
              <w:rPr>
                <w:b/>
                <w:sz w:val="17"/>
              </w:rPr>
              <w:t>Rule</w:t>
            </w:r>
          </w:p>
        </w:tc>
        <w:tc>
          <w:tcPr>
            <w:tcW w:type="dxa" w:w="12643"/>
          </w:tcPr>
          <w:p>
            <w:r/>
            <w:r>
              <w:rPr>
                <w:b w:val="0"/>
                <w:sz w:val="18"/>
              </w:rPr>
              <w:t>No statutory definition exists. The industry specimen product summary defines a pre-existing condition as 'any known medical condition from which the Insured is suffering on or before the issuance of the policy, including those for which treatment, medication or advice have been received before the issuance of the policy.' (CI/LTC/DI specimens use diagnosis/occurrence before issuance.)</w:t>
            </w:r>
          </w:p>
        </w:tc>
      </w:tr>
      <w:tr>
        <w:tc>
          <w:tcPr>
            <w:tcW w:type="dxa" w:w="2381"/>
          </w:tcPr>
          <w:p>
            <w:r/>
            <w:r>
              <w:rPr>
                <w:b/>
                <w:sz w:val="17"/>
              </w:rPr>
              <w:t>Wording test</w:t>
            </w:r>
          </w:p>
        </w:tc>
        <w:tc>
          <w:tcPr>
            <w:tcW w:type="dxa" w:w="12643"/>
          </w:tcPr>
          <w:p>
            <w:r/>
            <w:r>
              <w:rPr>
                <w:b w:val="0"/>
                <w:sz w:val="18"/>
              </w:rPr>
              <w:t>Compare the wording's PEC definition with the specimen. Flag (not fail) definitions that are broader – e.g., include undiagnosed 'signs or symptoms', 'ought reasonably to have known', look-back periods, or conditions arising after issuance but before reinstatement without disclosure. Check whether the PEC exclusion is permanent or time-limited (no regulatory moratorium in Singapore).</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Appendix II 'Key Product Provisions' (d) Exclusions; Appendices III-V exclusions</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 — Specimen wording is guidance for presentation in the product summary; it is not a mandated policy definition.</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SG-LG-05</w:t>
            </w:r>
          </w:p>
        </w:tc>
        <w:tc>
          <w:tcPr>
            <w:tcW w:type="dxa" w:w="12643"/>
            <w:shd w:val="clear" w:color="auto" w:fill="D9E2F3"/>
          </w:tcPr>
          <w:p>
            <w:r/>
            <w:r>
              <w:rPr>
                <w:b/>
                <w:sz w:val="18"/>
              </w:rPr>
              <w:t>Free-look specimen</w:t>
            </w:r>
          </w:p>
        </w:tc>
      </w:tr>
      <w:tr>
        <w:tc>
          <w:tcPr>
            <w:tcW w:type="dxa" w:w="2381"/>
          </w:tcPr>
          <w:p>
            <w:r/>
            <w:r>
              <w:rPr>
                <w:b/>
                <w:sz w:val="17"/>
              </w:rPr>
              <w:t>Rule</w:t>
            </w:r>
          </w:p>
        </w:tc>
        <w:tc>
          <w:tcPr>
            <w:tcW w:type="dxa" w:w="12643"/>
          </w:tcPr>
          <w:p>
            <w:r/>
            <w:r>
              <w:rPr>
                <w:b w:val="0"/>
                <w:sz w:val="18"/>
              </w:rPr>
              <w:t>Specimen free-look clause: '&lt;XX&gt; days to review the policy from the date you receive it ... cancel by clear written instructions within the free-look period. Provided that no claims have been made during this period, we shall refund the premiums paid ... without interest after deducting the expenses incurred in issuing this policy. ... shall not apply to renewals.' PS must state the period, terms and procedures.</w:t>
            </w:r>
          </w:p>
        </w:tc>
      </w:tr>
      <w:tr>
        <w:tc>
          <w:tcPr>
            <w:tcW w:type="dxa" w:w="2381"/>
          </w:tcPr>
          <w:p>
            <w:r/>
            <w:r>
              <w:rPr>
                <w:b/>
                <w:sz w:val="17"/>
              </w:rPr>
              <w:t>Wording test</w:t>
            </w:r>
          </w:p>
        </w:tc>
        <w:tc>
          <w:tcPr>
            <w:tcW w:type="dxa" w:w="12643"/>
          </w:tcPr>
          <w:p>
            <w:r/>
            <w:r>
              <w:rPr>
                <w:b w:val="0"/>
                <w:sz w:val="18"/>
              </w:rPr>
              <w:t>Check free-look clause: XX ≥ 14 days (SG-IA-05); runs from receipt; refund mechanics consistent with GPR reg 8(2) and, for IPs, PMIS reg 9(1).</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 15(r); Appendix I item 9</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SG-LG-06</w:t>
            </w:r>
          </w:p>
        </w:tc>
        <w:tc>
          <w:tcPr>
            <w:tcW w:type="dxa" w:w="12643"/>
            <w:shd w:val="clear" w:color="auto" w:fill="D9E2F3"/>
          </w:tcPr>
          <w:p>
            <w:r/>
            <w:r>
              <w:rPr>
                <w:b/>
                <w:sz w:val="18"/>
              </w:rPr>
              <w:t>Post-sale changes to terms</w:t>
            </w:r>
          </w:p>
        </w:tc>
      </w:tr>
      <w:tr>
        <w:tc>
          <w:tcPr>
            <w:tcW w:type="dxa" w:w="2381"/>
          </w:tcPr>
          <w:p>
            <w:r/>
            <w:r>
              <w:rPr>
                <w:b/>
                <w:sz w:val="17"/>
              </w:rPr>
              <w:t>Rule</w:t>
            </w:r>
          </w:p>
        </w:tc>
        <w:tc>
          <w:tcPr>
            <w:tcW w:type="dxa" w:w="12643"/>
          </w:tcPr>
          <w:p>
            <w:r/>
            <w:r>
              <w:rPr>
                <w:b w:val="0"/>
                <w:sz w:val="18"/>
              </w:rPr>
              <w:t>Insurers must make continuing disclosure of changes to premium rates, benefits, exclusions or definitions, showing existing and modified terms; benefit withdrawals or new exclusions with no premium change must be highlighted; ≥30 days' advance written notice. Without written acceptance, policyholders must be able to reject and cease cover, modified terms must be on the front page in bold (font not smaller than the rest), with the standard deemed-acceptance statement.</w:t>
            </w:r>
          </w:p>
        </w:tc>
      </w:tr>
      <w:tr>
        <w:tc>
          <w:tcPr>
            <w:tcW w:type="dxa" w:w="2381"/>
          </w:tcPr>
          <w:p>
            <w:r/>
            <w:r>
              <w:rPr>
                <w:b/>
                <w:sz w:val="17"/>
              </w:rPr>
              <w:t>Wording test</w:t>
            </w:r>
          </w:p>
        </w:tc>
        <w:tc>
          <w:tcPr>
            <w:tcW w:type="dxa" w:w="12643"/>
          </w:tcPr>
          <w:p>
            <w:r/>
            <w:r>
              <w:rPr>
                <w:b w:val="0"/>
                <w:sz w:val="18"/>
              </w:rPr>
              <w:t>Check the variation clause and sample endorsement/notification letter for: 30 days; option to reject; prominence (front page, bold); standard statement.</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paras 26-30</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SG-LG-07</w:t>
            </w:r>
          </w:p>
        </w:tc>
        <w:tc>
          <w:tcPr>
            <w:tcW w:type="dxa" w:w="12643"/>
            <w:shd w:val="clear" w:color="auto" w:fill="D9E2F3"/>
          </w:tcPr>
          <w:p>
            <w:r/>
            <w:r>
              <w:rPr>
                <w:b/>
                <w:sz w:val="18"/>
              </w:rPr>
              <w:t>Insurer cancellation clause (short-term A&amp;H)</w:t>
            </w:r>
          </w:p>
        </w:tc>
      </w:tr>
      <w:tr>
        <w:tc>
          <w:tcPr>
            <w:tcW w:type="dxa" w:w="2381"/>
          </w:tcPr>
          <w:p>
            <w:r/>
            <w:r>
              <w:rPr>
                <w:b/>
                <w:sz w:val="17"/>
              </w:rPr>
              <w:t>Rule</w:t>
            </w:r>
          </w:p>
        </w:tc>
        <w:tc>
          <w:tcPr>
            <w:tcW w:type="dxa" w:w="12643"/>
          </w:tcPr>
          <w:p>
            <w:r/>
            <w:r>
              <w:rPr>
                <w:b w:val="0"/>
                <w:sz w:val="18"/>
              </w:rPr>
              <w:t>Specimen cancellation clause: insurer may terminate by giving &lt;number&gt; days' written notice, returns unearned premium, termination without prejudice to claims arising before termination.</w:t>
            </w:r>
          </w:p>
        </w:tc>
      </w:tr>
      <w:tr>
        <w:tc>
          <w:tcPr>
            <w:tcW w:type="dxa" w:w="2381"/>
          </w:tcPr>
          <w:p>
            <w:r/>
            <w:r>
              <w:rPr>
                <w:b/>
                <w:sz w:val="17"/>
              </w:rPr>
              <w:t>Wording test</w:t>
            </w:r>
          </w:p>
        </w:tc>
        <w:tc>
          <w:tcPr>
            <w:tcW w:type="dxa" w:w="12643"/>
          </w:tcPr>
          <w:p>
            <w:r/>
            <w:r>
              <w:rPr>
                <w:b w:val="0"/>
                <w:sz w:val="18"/>
              </w:rPr>
              <w:t>If the wording has an insurer cancellation clause, check it (i) states notice period, (ii) refunds unearned premium, (iii) preserves prior claims. Also triggers short-term classification (SG-IA-04) and App D statement (SG-N120-04).</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 15(j)(i); Appendix I item 1</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SG-LG-08</w:t>
            </w:r>
          </w:p>
        </w:tc>
        <w:tc>
          <w:tcPr>
            <w:tcW w:type="dxa" w:w="12643"/>
            <w:shd w:val="clear" w:color="auto" w:fill="D9E2F3"/>
          </w:tcPr>
          <w:p>
            <w:r/>
            <w:r>
              <w:rPr>
                <w:b/>
                <w:sz w:val="18"/>
              </w:rPr>
              <w:t>Direct marketing / telemarketing (no advice)</w:t>
            </w:r>
          </w:p>
        </w:tc>
      </w:tr>
      <w:tr>
        <w:tc>
          <w:tcPr>
            <w:tcW w:type="dxa" w:w="2381"/>
          </w:tcPr>
          <w:p>
            <w:r/>
            <w:r>
              <w:rPr>
                <w:b/>
                <w:sz w:val="17"/>
              </w:rPr>
              <w:t>Rule</w:t>
            </w:r>
          </w:p>
        </w:tc>
        <w:tc>
          <w:tcPr>
            <w:tcW w:type="dxa" w:w="12643"/>
          </w:tcPr>
          <w:p>
            <w:r/>
            <w:r>
              <w:rPr>
                <w:b w:val="0"/>
                <w:sz w:val="18"/>
              </w:rPr>
              <w:t>Marketing materials must highlight: 'This is only product information provided by us. You should seek advice from a qualified advisor if in doubt. Buying health insurance products that are not suitable for you may impact your ability to finance your future healthcare needs.' Proposal form must include the 'I am aware that I can seek advice...' clause before signature. Post-sale follow-up letter must point to the two compulsory disclosure documents and the free-look period.</w:t>
            </w:r>
          </w:p>
        </w:tc>
      </w:tr>
      <w:tr>
        <w:tc>
          <w:tcPr>
            <w:tcW w:type="dxa" w:w="2381"/>
          </w:tcPr>
          <w:p>
            <w:r/>
            <w:r>
              <w:rPr>
                <w:b/>
                <w:sz w:val="17"/>
              </w:rPr>
              <w:t>Wording test</w:t>
            </w:r>
          </w:p>
        </w:tc>
        <w:tc>
          <w:tcPr>
            <w:tcW w:type="dxa" w:w="12643"/>
          </w:tcPr>
          <w:p>
            <w:r/>
            <w:r>
              <w:rPr>
                <w:b w:val="0"/>
                <w:sz w:val="18"/>
              </w:rPr>
              <w:t>Check online/direct proposal forms for the clause and the follow-up letter.</w:t>
            </w:r>
          </w:p>
        </w:tc>
      </w:tr>
      <w:tr>
        <w:tc>
          <w:tcPr>
            <w:tcW w:type="dxa" w:w="2381"/>
          </w:tcPr>
          <w:p>
            <w:r/>
            <w:r>
              <w:rPr>
                <w:b/>
                <w:sz w:val="17"/>
              </w:rPr>
              <w:t>Source</w:t>
            </w:r>
          </w:p>
        </w:tc>
        <w:tc>
          <w:tcPr>
            <w:tcW w:type="dxa" w:w="12643"/>
          </w:tcPr>
          <w:p>
            <w:r/>
            <w:r>
              <w:rPr>
                <w:b w:val="0"/>
                <w:sz w:val="18"/>
              </w:rPr>
              <w:t>LIA &amp; GIA Guidelines – Disclosure Requirements for Accident &amp; Health (A&amp;H) Insurance Products — LIA and GIA — (industry guidelines) — November 2025</w:t>
            </w:r>
          </w:p>
        </w:tc>
      </w:tr>
      <w:tr>
        <w:tc>
          <w:tcPr>
            <w:tcW w:type="dxa" w:w="2381"/>
          </w:tcPr>
          <w:p>
            <w:r/>
            <w:r>
              <w:rPr>
                <w:b/>
                <w:sz w:val="17"/>
              </w:rPr>
              <w:t>Clause / section</w:t>
            </w:r>
          </w:p>
        </w:tc>
        <w:tc>
          <w:tcPr>
            <w:tcW w:type="dxa" w:w="12643"/>
          </w:tcPr>
          <w:p>
            <w:r/>
            <w:r>
              <w:rPr>
                <w:b w:val="0"/>
                <w:sz w:val="18"/>
              </w:rPr>
              <w:t>paras 18-25</w:t>
            </w:r>
          </w:p>
        </w:tc>
      </w:tr>
      <w:tr>
        <w:tc>
          <w:tcPr>
            <w:tcW w:type="dxa" w:w="2381"/>
          </w:tcPr>
          <w:p>
            <w:r/>
            <w:r>
              <w:rPr>
                <w:b/>
                <w:sz w:val="17"/>
              </w:rPr>
              <w:t>URL</w:t>
            </w:r>
          </w:p>
        </w:tc>
        <w:tc>
          <w:tcPr>
            <w:tcW w:type="dxa" w:w="12643"/>
          </w:tcPr>
          <w:p>
            <w:r/>
            <w:r>
              <w:rPr>
                <w:b w:val="0"/>
                <w:sz w:val="18"/>
              </w:rPr>
              <w:t>https://gia.org.sg/images/resources/For-Members/LIA-GIA-AH-Guidelines---Nov-2025.pdf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SG-LIA-01</w:t>
            </w:r>
          </w:p>
        </w:tc>
        <w:tc>
          <w:tcPr>
            <w:tcW w:type="dxa" w:w="12643"/>
            <w:shd w:val="clear" w:color="auto" w:fill="D9E2F3"/>
          </w:tcPr>
          <w:p>
            <w:r/>
            <w:r>
              <w:rPr>
                <w:b/>
                <w:sz w:val="18"/>
              </w:rPr>
              <w:t>Critical illness benefits (incl. CI riders to H&amp;S/IP/PA)</w:t>
            </w:r>
          </w:p>
        </w:tc>
      </w:tr>
      <w:tr>
        <w:tc>
          <w:tcPr>
            <w:tcW w:type="dxa" w:w="2381"/>
          </w:tcPr>
          <w:p>
            <w:r/>
            <w:r>
              <w:rPr>
                <w:b/>
                <w:sz w:val="17"/>
              </w:rPr>
              <w:t>Rule</w:t>
            </w:r>
          </w:p>
        </w:tc>
        <w:tc>
          <w:tcPr>
            <w:tcW w:type="dxa" w:w="12643"/>
          </w:tcPr>
          <w:p>
            <w:r/>
            <w:r>
              <w:rPr>
                <w:b w:val="0"/>
                <w:sz w:val="18"/>
              </w:rPr>
              <w:t>If a CI plan (or any plan paying at the severe stage) covers a condition on LIA's list of 37, it must use the LIA common severe-stage definition (Version 2024). Only minor terminology changes are allowed and must not change coverage. Early/intermediate and extremely-severe stages use insurer definitions. If a product pays the same benefit regardless of severity, the LIA definition does not apply.</w:t>
            </w:r>
          </w:p>
        </w:tc>
      </w:tr>
      <w:tr>
        <w:tc>
          <w:tcPr>
            <w:tcW w:type="dxa" w:w="2381"/>
          </w:tcPr>
          <w:p>
            <w:r/>
            <w:r>
              <w:rPr>
                <w:b/>
                <w:sz w:val="17"/>
              </w:rPr>
              <w:t>Wording test</w:t>
            </w:r>
          </w:p>
        </w:tc>
        <w:tc>
          <w:tcPr>
            <w:tcW w:type="dxa" w:w="12643"/>
          </w:tcPr>
          <w:p>
            <w:r/>
            <w:r>
              <w:rPr>
                <w:b w:val="0"/>
                <w:sz w:val="18"/>
              </w:rPr>
              <w:t>For each covered CI: match the definition text against LIA Version 2024 (MU 58/25 Part 2). FAIL on any substantive deviation for severe-stage listed conditions.</w:t>
            </w:r>
          </w:p>
        </w:tc>
      </w:tr>
      <w:tr>
        <w:tc>
          <w:tcPr>
            <w:tcW w:type="dxa" w:w="2381"/>
          </w:tcPr>
          <w:p>
            <w:r/>
            <w:r>
              <w:rPr>
                <w:b/>
                <w:sz w:val="17"/>
              </w:rPr>
              <w:t>Source</w:t>
            </w:r>
          </w:p>
        </w:tc>
        <w:tc>
          <w:tcPr>
            <w:tcW w:type="dxa" w:w="12643"/>
          </w:tcPr>
          <w:p>
            <w:r/>
            <w:r>
              <w:rPr>
                <w:b w:val="0"/>
                <w:sz w:val="18"/>
              </w:rPr>
              <w:t>LIA Critical Illness (CI) Framework 2024 (Part 1 of 4) — LIA — LIA MU 58/25 — 13 May 2025</w:t>
            </w:r>
          </w:p>
        </w:tc>
      </w:tr>
      <w:tr>
        <w:tc>
          <w:tcPr>
            <w:tcW w:type="dxa" w:w="2381"/>
          </w:tcPr>
          <w:p>
            <w:r/>
            <w:r>
              <w:rPr>
                <w:b/>
                <w:sz w:val="17"/>
              </w:rPr>
              <w:t>Clause / section</w:t>
            </w:r>
          </w:p>
        </w:tc>
        <w:tc>
          <w:tcPr>
            <w:tcW w:type="dxa" w:w="12643"/>
          </w:tcPr>
          <w:p>
            <w:r/>
            <w:r>
              <w:rPr>
                <w:b w:val="0"/>
                <w:sz w:val="18"/>
              </w:rPr>
              <w:t>'Adoption of LIA's Common Definitions' paras 1-6; 'Use of Terminology'</w:t>
            </w:r>
          </w:p>
        </w:tc>
      </w:tr>
      <w:tr>
        <w:tc>
          <w:tcPr>
            <w:tcW w:type="dxa" w:w="2381"/>
          </w:tcPr>
          <w:p>
            <w:r/>
            <w:r>
              <w:rPr>
                <w:b/>
                <w:sz w:val="17"/>
              </w:rPr>
              <w:t>URL</w:t>
            </w:r>
          </w:p>
        </w:tc>
        <w:tc>
          <w:tcPr>
            <w:tcW w:type="dxa" w:w="12643"/>
          </w:tcPr>
          <w:p>
            <w:r/>
            <w:r>
              <w:rPr>
                <w:b w:val="0"/>
                <w:sz w:val="18"/>
              </w:rPr>
              <w:t>https://www.lia.org.sg/media/4549/lia-ci-framework-2024-part-1-of-4.pdf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SG-LIA-02</w:t>
            </w:r>
          </w:p>
        </w:tc>
        <w:tc>
          <w:tcPr>
            <w:tcW w:type="dxa" w:w="12643"/>
            <w:shd w:val="clear" w:color="auto" w:fill="D9E2F3"/>
          </w:tcPr>
          <w:p>
            <w:r/>
            <w:r>
              <w:rPr>
                <w:b/>
                <w:sz w:val="18"/>
              </w:rPr>
              <w:t>CI – version timing</w:t>
            </w:r>
          </w:p>
        </w:tc>
      </w:tr>
      <w:tr>
        <w:tc>
          <w:tcPr>
            <w:tcW w:type="dxa" w:w="2381"/>
          </w:tcPr>
          <w:p>
            <w:r/>
            <w:r>
              <w:rPr>
                <w:b/>
                <w:sz w:val="17"/>
              </w:rPr>
              <w:t>Rule</w:t>
            </w:r>
          </w:p>
        </w:tc>
        <w:tc>
          <w:tcPr>
            <w:tcW w:type="dxa" w:w="12643"/>
          </w:tcPr>
          <w:p>
            <w:r/>
            <w:r>
              <w:rPr>
                <w:b w:val="0"/>
                <w:sz w:val="18"/>
              </w:rPr>
              <w:t>Version 2024 definitions apply to new products launched on/after 1 Oct 2025; from 1 Oct 2025 products using Version 2019 may no longer be sold. Individual policies: based on proposal signed date (proposals signed by 30 Sep 2025 to be issued by 31 Dec 2025). Group: policies effected/renewed on/after 1 Oct 2025 carry Version 2024. Top-ups may use existing or current definitions at insurer's discretion, with disclosure.</w:t>
            </w:r>
          </w:p>
        </w:tc>
      </w:tr>
      <w:tr>
        <w:tc>
          <w:tcPr>
            <w:tcW w:type="dxa" w:w="2381"/>
          </w:tcPr>
          <w:p>
            <w:r/>
            <w:r>
              <w:rPr>
                <w:b/>
                <w:sz w:val="17"/>
              </w:rPr>
              <w:t>Wording test</w:t>
            </w:r>
          </w:p>
        </w:tc>
        <w:tc>
          <w:tcPr>
            <w:tcW w:type="dxa" w:w="12643"/>
          </w:tcPr>
          <w:p>
            <w:r/>
            <w:r>
              <w:rPr>
                <w:b w:val="0"/>
                <w:sz w:val="18"/>
              </w:rPr>
              <w:t>Check the definitions version against the proposal signed date / group effective date.</w:t>
            </w:r>
          </w:p>
        </w:tc>
      </w:tr>
      <w:tr>
        <w:tc>
          <w:tcPr>
            <w:tcW w:type="dxa" w:w="2381"/>
          </w:tcPr>
          <w:p>
            <w:r/>
            <w:r>
              <w:rPr>
                <w:b/>
                <w:sz w:val="17"/>
              </w:rPr>
              <w:t>Source</w:t>
            </w:r>
          </w:p>
        </w:tc>
        <w:tc>
          <w:tcPr>
            <w:tcW w:type="dxa" w:w="12643"/>
          </w:tcPr>
          <w:p>
            <w:r/>
            <w:r>
              <w:rPr>
                <w:b w:val="0"/>
                <w:sz w:val="18"/>
              </w:rPr>
              <w:t>LIA Critical Illness (CI) Framework 2024 (Part 1 of 4) — LIA — LIA MU 58/25 — 13 May 2025</w:t>
            </w:r>
          </w:p>
        </w:tc>
      </w:tr>
      <w:tr>
        <w:tc>
          <w:tcPr>
            <w:tcW w:type="dxa" w:w="2381"/>
          </w:tcPr>
          <w:p>
            <w:r/>
            <w:r>
              <w:rPr>
                <w:b/>
                <w:sz w:val="17"/>
              </w:rPr>
              <w:t>Clause / section</w:t>
            </w:r>
          </w:p>
        </w:tc>
        <w:tc>
          <w:tcPr>
            <w:tcW w:type="dxa" w:w="12643"/>
          </w:tcPr>
          <w:p>
            <w:r/>
            <w:r>
              <w:rPr>
                <w:b w:val="0"/>
                <w:sz w:val="18"/>
              </w:rPr>
              <w:t>'Operational Aspects' paras 1-10; 'In-scope' paras 6-8</w:t>
            </w:r>
          </w:p>
        </w:tc>
      </w:tr>
      <w:tr>
        <w:tc>
          <w:tcPr>
            <w:tcW w:type="dxa" w:w="2381"/>
          </w:tcPr>
          <w:p>
            <w:r/>
            <w:r>
              <w:rPr>
                <w:b/>
                <w:sz w:val="17"/>
              </w:rPr>
              <w:t>URL</w:t>
            </w:r>
          </w:p>
        </w:tc>
        <w:tc>
          <w:tcPr>
            <w:tcW w:type="dxa" w:w="12643"/>
          </w:tcPr>
          <w:p>
            <w:r/>
            <w:r>
              <w:rPr>
                <w:b w:val="0"/>
                <w:sz w:val="18"/>
              </w:rPr>
              <w:t>https://www.lia.org.sg/media/4549/lia-ci-framework-2024-part-1-of-4.pdf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SG-LIA-03</w:t>
            </w:r>
          </w:p>
        </w:tc>
        <w:tc>
          <w:tcPr>
            <w:tcW w:type="dxa" w:w="12643"/>
            <w:shd w:val="clear" w:color="auto" w:fill="D9E2F3"/>
          </w:tcPr>
          <w:p>
            <w:r/>
            <w:r>
              <w:rPr>
                <w:b/>
                <w:sz w:val="18"/>
              </w:rPr>
              <w:t>CI – product summary disclosure</w:t>
            </w:r>
          </w:p>
        </w:tc>
      </w:tr>
      <w:tr>
        <w:tc>
          <w:tcPr>
            <w:tcW w:type="dxa" w:w="2381"/>
          </w:tcPr>
          <w:p>
            <w:r/>
            <w:r>
              <w:rPr>
                <w:b/>
                <w:sz w:val="17"/>
              </w:rPr>
              <w:t>Rule</w:t>
            </w:r>
          </w:p>
        </w:tc>
        <w:tc>
          <w:tcPr>
            <w:tcW w:type="dxa" w:w="12643"/>
          </w:tcPr>
          <w:p>
            <w:r/>
            <w:r>
              <w:rPr>
                <w:b w:val="0"/>
                <w:sz w:val="18"/>
              </w:rPr>
              <w:t>Product summary must state the CIs covered and include the mandatory verbatim explanatory statement (with asterisk/double asterisk) on which CIs follow LIA Version 2024 definitions and which are insurer-defined.</w:t>
            </w:r>
          </w:p>
        </w:tc>
      </w:tr>
      <w:tr>
        <w:tc>
          <w:tcPr>
            <w:tcW w:type="dxa" w:w="2381"/>
          </w:tcPr>
          <w:p>
            <w:r/>
            <w:r>
              <w:rPr>
                <w:b/>
                <w:sz w:val="17"/>
              </w:rPr>
              <w:t>Wording test</w:t>
            </w:r>
          </w:p>
        </w:tc>
        <w:tc>
          <w:tcPr>
            <w:tcW w:type="dxa" w:w="12643"/>
          </w:tcPr>
          <w:p>
            <w:r/>
            <w:r>
              <w:rPr>
                <w:b w:val="0"/>
                <w:sz w:val="18"/>
              </w:rPr>
              <w:t>Check PS for the correct one of the three statements and the asterisk marking.</w:t>
            </w:r>
          </w:p>
        </w:tc>
      </w:tr>
      <w:tr>
        <w:tc>
          <w:tcPr>
            <w:tcW w:type="dxa" w:w="2381"/>
          </w:tcPr>
          <w:p>
            <w:r/>
            <w:r>
              <w:rPr>
                <w:b/>
                <w:sz w:val="17"/>
              </w:rPr>
              <w:t>Source</w:t>
            </w:r>
          </w:p>
        </w:tc>
        <w:tc>
          <w:tcPr>
            <w:tcW w:type="dxa" w:w="12643"/>
          </w:tcPr>
          <w:p>
            <w:r/>
            <w:r>
              <w:rPr>
                <w:b w:val="0"/>
                <w:sz w:val="18"/>
              </w:rPr>
              <w:t>LIA Critical Illness (CI) Framework 2024 (Part 1 of 4) — LIA — LIA MU 58/25 — 13 May 2025</w:t>
            </w:r>
          </w:p>
        </w:tc>
      </w:tr>
      <w:tr>
        <w:tc>
          <w:tcPr>
            <w:tcW w:type="dxa" w:w="2381"/>
          </w:tcPr>
          <w:p>
            <w:r/>
            <w:r>
              <w:rPr>
                <w:b/>
                <w:sz w:val="17"/>
              </w:rPr>
              <w:t>Clause / section</w:t>
            </w:r>
          </w:p>
        </w:tc>
        <w:tc>
          <w:tcPr>
            <w:tcW w:type="dxa" w:w="12643"/>
          </w:tcPr>
          <w:p>
            <w:r/>
            <w:r>
              <w:rPr>
                <w:b w:val="0"/>
                <w:sz w:val="18"/>
              </w:rPr>
              <w:t>'Disclosures in the Product Summary' paras 1-10</w:t>
            </w:r>
          </w:p>
        </w:tc>
      </w:tr>
      <w:tr>
        <w:tc>
          <w:tcPr>
            <w:tcW w:type="dxa" w:w="2381"/>
          </w:tcPr>
          <w:p>
            <w:r/>
            <w:r>
              <w:rPr>
                <w:b/>
                <w:sz w:val="17"/>
              </w:rPr>
              <w:t>URL</w:t>
            </w:r>
          </w:p>
        </w:tc>
        <w:tc>
          <w:tcPr>
            <w:tcW w:type="dxa" w:w="12643"/>
          </w:tcPr>
          <w:p>
            <w:r/>
            <w:r>
              <w:rPr>
                <w:b w:val="0"/>
                <w:sz w:val="18"/>
              </w:rPr>
              <w:t>https://www.lia.org.sg/media/4549/lia-ci-framework-2024-part-1-of-4.pdf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SG-LIA-04</w:t>
            </w:r>
          </w:p>
        </w:tc>
        <w:tc>
          <w:tcPr>
            <w:tcW w:type="dxa" w:w="12643"/>
            <w:shd w:val="clear" w:color="auto" w:fill="D9E2F3"/>
          </w:tcPr>
          <w:p>
            <w:r/>
            <w:r>
              <w:rPr>
                <w:b/>
                <w:sz w:val="18"/>
              </w:rPr>
              <w:t>CI – waiting periods &amp; structure</w:t>
            </w:r>
          </w:p>
        </w:tc>
      </w:tr>
      <w:tr>
        <w:tc>
          <w:tcPr>
            <w:tcW w:type="dxa" w:w="2381"/>
          </w:tcPr>
          <w:p>
            <w:r/>
            <w:r>
              <w:rPr>
                <w:b/>
                <w:sz w:val="17"/>
              </w:rPr>
              <w:t>Rule</w:t>
            </w:r>
          </w:p>
        </w:tc>
        <w:tc>
          <w:tcPr>
            <w:tcW w:type="dxa" w:w="12643"/>
          </w:tcPr>
          <w:p>
            <w:r/>
            <w:r>
              <w:rPr>
                <w:b w:val="0"/>
                <w:sz w:val="18"/>
              </w:rPr>
              <w:t>The industry 90-day CI waiting period was abolished from 16 Nov 2022; insurers set their own waiting periods. The former 30-condition cap (abolished Nov 2014) and $25,000 angioplasty cap (removed 9 Mar 2022) no longer apply. Stand-alone early-stage-only coverage of a listed condition without severe-stage cover (Scenarios 5 and 7) is not allowed.</w:t>
            </w:r>
          </w:p>
        </w:tc>
      </w:tr>
      <w:tr>
        <w:tc>
          <w:tcPr>
            <w:tcW w:type="dxa" w:w="2381"/>
          </w:tcPr>
          <w:p>
            <w:r/>
            <w:r>
              <w:rPr>
                <w:b/>
                <w:sz w:val="17"/>
              </w:rPr>
              <w:t>Wording test</w:t>
            </w:r>
          </w:p>
        </w:tc>
        <w:tc>
          <w:tcPr>
            <w:tcW w:type="dxa" w:w="12643"/>
          </w:tcPr>
          <w:p>
            <w:r/>
            <w:r>
              <w:rPr>
                <w:b w:val="0"/>
                <w:sz w:val="18"/>
              </w:rPr>
              <w:t>Check CI waiting period is stated; FAIL a stand-alone product that covers only early/intermediate stage of a listed condition without the severe stage.</w:t>
            </w:r>
          </w:p>
        </w:tc>
      </w:tr>
      <w:tr>
        <w:tc>
          <w:tcPr>
            <w:tcW w:type="dxa" w:w="2381"/>
          </w:tcPr>
          <w:p>
            <w:r/>
            <w:r>
              <w:rPr>
                <w:b/>
                <w:sz w:val="17"/>
              </w:rPr>
              <w:t>Source</w:t>
            </w:r>
          </w:p>
        </w:tc>
        <w:tc>
          <w:tcPr>
            <w:tcW w:type="dxa" w:w="12643"/>
          </w:tcPr>
          <w:p>
            <w:r/>
            <w:r>
              <w:rPr>
                <w:b w:val="0"/>
                <w:sz w:val="18"/>
              </w:rPr>
              <w:t>LIA Critical Illness (CI) Framework 2024 (Part 1 of 4) — LIA — LIA MU 58/25 — 13 May 2025</w:t>
            </w:r>
          </w:p>
        </w:tc>
      </w:tr>
      <w:tr>
        <w:tc>
          <w:tcPr>
            <w:tcW w:type="dxa" w:w="2381"/>
          </w:tcPr>
          <w:p>
            <w:r/>
            <w:r>
              <w:rPr>
                <w:b/>
                <w:sz w:val="17"/>
              </w:rPr>
              <w:t>Clause / section</w:t>
            </w:r>
          </w:p>
        </w:tc>
        <w:tc>
          <w:tcPr>
            <w:tcW w:type="dxa" w:w="12643"/>
          </w:tcPr>
          <w:p>
            <w:r/>
            <w:r>
              <w:rPr>
                <w:b w:val="0"/>
                <w:sz w:val="18"/>
              </w:rPr>
              <w:t>'Abolition' paras 1-3; 'Objectives' paras 4-6; Scenarios table</w:t>
            </w:r>
          </w:p>
        </w:tc>
      </w:tr>
      <w:tr>
        <w:tc>
          <w:tcPr>
            <w:tcW w:type="dxa" w:w="2381"/>
          </w:tcPr>
          <w:p>
            <w:r/>
            <w:r>
              <w:rPr>
                <w:b/>
                <w:sz w:val="17"/>
              </w:rPr>
              <w:t>URL</w:t>
            </w:r>
          </w:p>
        </w:tc>
        <w:tc>
          <w:tcPr>
            <w:tcW w:type="dxa" w:w="12643"/>
          </w:tcPr>
          <w:p>
            <w:r/>
            <w:r>
              <w:rPr>
                <w:b w:val="0"/>
                <w:sz w:val="18"/>
              </w:rPr>
              <w:t>https://www.lia.org.sg/media/4549/lia-ci-framework-2024-part-1-of-4.pdf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SG-LIA-05</w:t>
            </w:r>
          </w:p>
        </w:tc>
        <w:tc>
          <w:tcPr>
            <w:tcW w:type="dxa" w:w="12643"/>
            <w:shd w:val="clear" w:color="auto" w:fill="D9E2F3"/>
          </w:tcPr>
          <w:p>
            <w:r/>
            <w:r>
              <w:rPr>
                <w:b/>
                <w:sz w:val="18"/>
              </w:rPr>
              <w:t>IP pre-authorisation (good practice)</w:t>
            </w:r>
          </w:p>
        </w:tc>
      </w:tr>
      <w:tr>
        <w:tc>
          <w:tcPr>
            <w:tcW w:type="dxa" w:w="2381"/>
          </w:tcPr>
          <w:p>
            <w:r/>
            <w:r>
              <w:rPr>
                <w:b/>
                <w:sz w:val="17"/>
              </w:rPr>
              <w:t>Rule</w:t>
            </w:r>
          </w:p>
        </w:tc>
        <w:tc>
          <w:tcPr>
            <w:tcW w:type="dxa" w:w="12643"/>
          </w:tcPr>
          <w:p>
            <w:r/>
            <w:r>
              <w:rPr>
                <w:b w:val="0"/>
                <w:sz w:val="18"/>
              </w:rPr>
              <w:t>IP insurers offering pre-authorisation should disclose: T&amp;Cs incl. whether pre-auth is compulsory; benefits/risks of (not) using it; step-by-step process and documents; expected review timelines; right to issue/decline/withdraw/limit Letters of Guarantee; services in and out of scope; obtain consent; define minimum lead time (e.g., complete documents 3 business days before admission); emergencies excluded; communicate fully if a later claim review reverses an approval.</w:t>
            </w:r>
          </w:p>
        </w:tc>
      </w:tr>
      <w:tr>
        <w:tc>
          <w:tcPr>
            <w:tcW w:type="dxa" w:w="2381"/>
          </w:tcPr>
          <w:p>
            <w:r/>
            <w:r>
              <w:rPr>
                <w:b/>
                <w:sz w:val="17"/>
              </w:rPr>
              <w:t>Wording test</w:t>
            </w:r>
          </w:p>
        </w:tc>
        <w:tc>
          <w:tcPr>
            <w:tcW w:type="dxa" w:w="12643"/>
          </w:tcPr>
          <w:p>
            <w:r/>
            <w:r>
              <w:rPr>
                <w:b w:val="0"/>
                <w:sz w:val="18"/>
              </w:rPr>
              <w:t>Check the wording/customer guide for each element; FAIL (good-practice) if pre-auth is a condition for co-pay cap or claim admissibility but the process/timeline is not disclosed.</w:t>
            </w:r>
          </w:p>
        </w:tc>
      </w:tr>
      <w:tr>
        <w:tc>
          <w:tcPr>
            <w:tcW w:type="dxa" w:w="2381"/>
          </w:tcPr>
          <w:p>
            <w:r/>
            <w:r>
              <w:rPr>
                <w:b/>
                <w:sz w:val="17"/>
              </w:rPr>
              <w:t>Source</w:t>
            </w:r>
          </w:p>
        </w:tc>
        <w:tc>
          <w:tcPr>
            <w:tcW w:type="dxa" w:w="12643"/>
          </w:tcPr>
          <w:p>
            <w:r/>
            <w:r>
              <w:rPr>
                <w:b w:val="0"/>
                <w:sz w:val="18"/>
              </w:rPr>
              <w:t>Integrated Shield Plans – Good Practices on Pre-Authorisation Framework/Process — LIA — (industry good practices) — 8 Jan 2018</w:t>
            </w:r>
          </w:p>
        </w:tc>
      </w:tr>
      <w:tr>
        <w:tc>
          <w:tcPr>
            <w:tcW w:type="dxa" w:w="2381"/>
          </w:tcPr>
          <w:p>
            <w:r/>
            <w:r>
              <w:rPr>
                <w:b/>
                <w:sz w:val="17"/>
              </w:rPr>
              <w:t>Clause / section</w:t>
            </w:r>
          </w:p>
        </w:tc>
        <w:tc>
          <w:tcPr>
            <w:tcW w:type="dxa" w:w="12643"/>
          </w:tcPr>
          <w:p>
            <w:r/>
            <w:r>
              <w:rPr>
                <w:b w:val="0"/>
                <w:sz w:val="18"/>
              </w:rPr>
              <w:t>paras 10-16</w:t>
            </w:r>
          </w:p>
        </w:tc>
      </w:tr>
      <w:tr>
        <w:tc>
          <w:tcPr>
            <w:tcW w:type="dxa" w:w="2381"/>
          </w:tcPr>
          <w:p>
            <w:r/>
            <w:r>
              <w:rPr>
                <w:b/>
                <w:sz w:val="17"/>
              </w:rPr>
              <w:t>URL</w:t>
            </w:r>
          </w:p>
        </w:tc>
        <w:tc>
          <w:tcPr>
            <w:tcW w:type="dxa" w:w="12643"/>
          </w:tcPr>
          <w:p>
            <w:r/>
            <w:r>
              <w:rPr>
                <w:b w:val="0"/>
                <w:sz w:val="18"/>
              </w:rPr>
              <w:t>https://www.lia.org.sg/media/1457/good-practices-on-pre-authorisation-20180108.pdf</w:t>
            </w:r>
          </w:p>
        </w:tc>
      </w:tr>
      <w:tr>
        <w:tc>
          <w:tcPr>
            <w:tcW w:type="dxa" w:w="2381"/>
          </w:tcPr>
          <w:p>
            <w:r/>
            <w:r>
              <w:rPr>
                <w:b/>
                <w:sz w:val="17"/>
              </w:rPr>
              <w:t>Verification</w:t>
            </w:r>
          </w:p>
        </w:tc>
        <w:tc>
          <w:tcPr>
            <w:tcW w:type="dxa" w:w="12643"/>
          </w:tcPr>
          <w:p>
            <w:r/>
            <w:r>
              <w:rPr>
                <w:b w:val="0"/>
                <w:sz w:val="18"/>
              </w:rPr>
              <w:t>Verified – primary text read — Good practices, not mandatory rules. LIA also maintains a standard Pre-Authorisation Form (2022) – existence seen on LIA site listing only.</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SG-GIA-01</w:t>
            </w:r>
          </w:p>
        </w:tc>
        <w:tc>
          <w:tcPr>
            <w:tcW w:type="dxa" w:w="12643"/>
            <w:shd w:val="clear" w:color="auto" w:fill="D9E2F3"/>
          </w:tcPr>
          <w:p>
            <w:r/>
            <w:r>
              <w:rPr>
                <w:b/>
                <w:sz w:val="18"/>
              </w:rPr>
              <w:t>General insurers – individual policies (incl. health/PA written by GI insurers)</w:t>
            </w:r>
          </w:p>
        </w:tc>
      </w:tr>
      <w:tr>
        <w:tc>
          <w:tcPr>
            <w:tcW w:type="dxa" w:w="2381"/>
          </w:tcPr>
          <w:p>
            <w:r/>
            <w:r>
              <w:rPr>
                <w:b/>
                <w:sz w:val="17"/>
              </w:rPr>
              <w:t>Rule</w:t>
            </w:r>
          </w:p>
        </w:tc>
        <w:tc>
          <w:tcPr>
            <w:tcW w:type="dxa" w:w="12643"/>
          </w:tcPr>
          <w:p>
            <w:r/>
            <w:r>
              <w:rPr>
                <w:b w:val="0"/>
                <w:sz w:val="18"/>
              </w:rPr>
              <w:t>For policies offering a free look, GIA members give at least 14 business days from receipt; refund of premium if no claim (admin charge may apply). Not applicable to motor, travel, domestic maid, short-term (&lt;1 year) policies, renewals, compulsory insurance.</w:t>
            </w:r>
          </w:p>
        </w:tc>
      </w:tr>
      <w:tr>
        <w:tc>
          <w:tcPr>
            <w:tcW w:type="dxa" w:w="2381"/>
          </w:tcPr>
          <w:p>
            <w:r/>
            <w:r>
              <w:rPr>
                <w:b/>
                <w:sz w:val="17"/>
              </w:rPr>
              <w:t>Wording test</w:t>
            </w:r>
          </w:p>
        </w:tc>
        <w:tc>
          <w:tcPr>
            <w:tcW w:type="dxa" w:w="12643"/>
          </w:tcPr>
          <w:p>
            <w:r/>
            <w:r>
              <w:rPr>
                <w:b w:val="0"/>
                <w:sz w:val="18"/>
              </w:rPr>
              <w:t>For GI-issued health/PA policies of ≥1 year, check free-look ≥14 business days AND ≥14 days under GPR reg 8.</w:t>
            </w:r>
          </w:p>
        </w:tc>
      </w:tr>
      <w:tr>
        <w:tc>
          <w:tcPr>
            <w:tcW w:type="dxa" w:w="2381"/>
          </w:tcPr>
          <w:p>
            <w:r/>
            <w:r>
              <w:rPr>
                <w:b/>
                <w:sz w:val="17"/>
              </w:rPr>
              <w:t>Source</w:t>
            </w:r>
          </w:p>
        </w:tc>
        <w:tc>
          <w:tcPr>
            <w:tcW w:type="dxa" w:w="12643"/>
          </w:tcPr>
          <w:p>
            <w:r/>
            <w:r>
              <w:rPr>
                <w:b w:val="0"/>
                <w:sz w:val="18"/>
              </w:rPr>
              <w:t>The Singapore General Insurance Code of Practice (Revised Copy) — GIA — (industry code) — 25 Oct 2022</w:t>
            </w:r>
          </w:p>
        </w:tc>
      </w:tr>
      <w:tr>
        <w:tc>
          <w:tcPr>
            <w:tcW w:type="dxa" w:w="2381"/>
          </w:tcPr>
          <w:p>
            <w:r/>
            <w:r>
              <w:rPr>
                <w:b/>
                <w:sz w:val="17"/>
              </w:rPr>
              <w:t>Clause / section</w:t>
            </w:r>
          </w:p>
        </w:tc>
        <w:tc>
          <w:tcPr>
            <w:tcW w:type="dxa" w:w="12643"/>
          </w:tcPr>
          <w:p>
            <w:r/>
            <w:r>
              <w:rPr>
                <w:b w:val="0"/>
                <w:sz w:val="18"/>
              </w:rPr>
              <w:t>section 3.4</w:t>
            </w:r>
          </w:p>
        </w:tc>
      </w:tr>
      <w:tr>
        <w:tc>
          <w:tcPr>
            <w:tcW w:type="dxa" w:w="2381"/>
          </w:tcPr>
          <w:p>
            <w:r/>
            <w:r>
              <w:rPr>
                <w:b/>
                <w:sz w:val="17"/>
              </w:rPr>
              <w:t>URL</w:t>
            </w:r>
          </w:p>
        </w:tc>
        <w:tc>
          <w:tcPr>
            <w:tcW w:type="dxa" w:w="12643"/>
          </w:tcPr>
          <w:p>
            <w:r/>
            <w:r>
              <w:rPr>
                <w:b w:val="0"/>
                <w:sz w:val="18"/>
              </w:rPr>
              <w:t>https://gia.org.sg/images/resources/For-Members/code_of_practice.pdf</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SG-GIA-02</w:t>
            </w:r>
          </w:p>
        </w:tc>
        <w:tc>
          <w:tcPr>
            <w:tcW w:type="dxa" w:w="12643"/>
            <w:shd w:val="clear" w:color="auto" w:fill="D9E2F3"/>
          </w:tcPr>
          <w:p>
            <w:r/>
            <w:r>
              <w:rPr>
                <w:b/>
                <w:sz w:val="18"/>
              </w:rPr>
              <w:t>General insurers – claims service standards</w:t>
            </w:r>
          </w:p>
        </w:tc>
      </w:tr>
      <w:tr>
        <w:tc>
          <w:tcPr>
            <w:tcW w:type="dxa" w:w="2381"/>
          </w:tcPr>
          <w:p>
            <w:r/>
            <w:r>
              <w:rPr>
                <w:b/>
                <w:sz w:val="17"/>
              </w:rPr>
              <w:t>Rule</w:t>
            </w:r>
          </w:p>
        </w:tc>
        <w:tc>
          <w:tcPr>
            <w:tcW w:type="dxa" w:w="12643"/>
          </w:tcPr>
          <w:p>
            <w:r/>
            <w:r>
              <w:rPr>
                <w:b w:val="0"/>
                <w:sz w:val="18"/>
              </w:rPr>
              <w:t>GIA members commit to: acknowledge claim within 3 business days; request missing documents within 7 business days; decide within 7 business days after receiving all information and completing investigation; reminder after 30 business days of no response; pay within 10 business days after agreeing to settle and receiving documents.</w:t>
            </w:r>
          </w:p>
        </w:tc>
      </w:tr>
      <w:tr>
        <w:tc>
          <w:tcPr>
            <w:tcW w:type="dxa" w:w="2381"/>
          </w:tcPr>
          <w:p>
            <w:r/>
            <w:r>
              <w:rPr>
                <w:b/>
                <w:sz w:val="17"/>
              </w:rPr>
              <w:t>Wording test</w:t>
            </w:r>
          </w:p>
        </w:tc>
        <w:tc>
          <w:tcPr>
            <w:tcW w:type="dxa" w:w="12643"/>
          </w:tcPr>
          <w:p>
            <w:r/>
            <w:r>
              <w:rPr>
                <w:b w:val="0"/>
                <w:sz w:val="18"/>
              </w:rPr>
              <w:t>For GI-issued health/PA policies: check the claims clause/customer guide does not set slower standards; note these are industry commitments enforced via GIA, not MAS.</w:t>
            </w:r>
          </w:p>
        </w:tc>
      </w:tr>
      <w:tr>
        <w:tc>
          <w:tcPr>
            <w:tcW w:type="dxa" w:w="2381"/>
          </w:tcPr>
          <w:p>
            <w:r/>
            <w:r>
              <w:rPr>
                <w:b/>
                <w:sz w:val="17"/>
              </w:rPr>
              <w:t>Source</w:t>
            </w:r>
          </w:p>
        </w:tc>
        <w:tc>
          <w:tcPr>
            <w:tcW w:type="dxa" w:w="12643"/>
          </w:tcPr>
          <w:p>
            <w:r/>
            <w:r>
              <w:rPr>
                <w:b w:val="0"/>
                <w:sz w:val="18"/>
              </w:rPr>
              <w:t>The Singapore General Insurance Code of Practice (Revised Copy) — GIA — (industry code) — 25 Oct 2022</w:t>
            </w:r>
          </w:p>
        </w:tc>
      </w:tr>
      <w:tr>
        <w:tc>
          <w:tcPr>
            <w:tcW w:type="dxa" w:w="2381"/>
          </w:tcPr>
          <w:p>
            <w:r/>
            <w:r>
              <w:rPr>
                <w:b/>
                <w:sz w:val="17"/>
              </w:rPr>
              <w:t>Clause / section</w:t>
            </w:r>
          </w:p>
        </w:tc>
        <w:tc>
          <w:tcPr>
            <w:tcW w:type="dxa" w:w="12643"/>
          </w:tcPr>
          <w:p>
            <w:r/>
            <w:r>
              <w:rPr>
                <w:b w:val="0"/>
                <w:sz w:val="18"/>
              </w:rPr>
              <w:t>section 6.2 and Appendix A</w:t>
            </w:r>
          </w:p>
        </w:tc>
      </w:tr>
      <w:tr>
        <w:tc>
          <w:tcPr>
            <w:tcW w:type="dxa" w:w="2381"/>
          </w:tcPr>
          <w:p>
            <w:r/>
            <w:r>
              <w:rPr>
                <w:b/>
                <w:sz w:val="17"/>
              </w:rPr>
              <w:t>URL</w:t>
            </w:r>
          </w:p>
        </w:tc>
        <w:tc>
          <w:tcPr>
            <w:tcW w:type="dxa" w:w="12643"/>
          </w:tcPr>
          <w:p>
            <w:r/>
            <w:r>
              <w:rPr>
                <w:b w:val="0"/>
                <w:sz w:val="18"/>
              </w:rPr>
              <w:t>https://gia.org.sg/images/resources/For-Members/code_of_practice.pdf</w:t>
            </w:r>
          </w:p>
        </w:tc>
      </w:tr>
      <w:tr>
        <w:tc>
          <w:tcPr>
            <w:tcW w:type="dxa" w:w="2381"/>
          </w:tcPr>
          <w:p>
            <w:r/>
            <w:r>
              <w:rPr>
                <w:b/>
                <w:sz w:val="17"/>
              </w:rPr>
              <w:t>Verification</w:t>
            </w:r>
          </w:p>
        </w:tc>
        <w:tc>
          <w:tcPr>
            <w:tcW w:type="dxa" w:w="12643"/>
          </w:tcPr>
          <w:p>
            <w:r/>
            <w:r>
              <w:rPr>
                <w:b w:val="0"/>
                <w:sz w:val="18"/>
              </w:rPr>
              <w:t>Verified – primary text read — MAS confirmed in a Feb 2024 parliamentary reply that the Code is issued and enforced by GIA, not MAS. No equivalent LIA claims timeline for life insurers' health claims was located.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SG-GIA-03</w:t>
            </w:r>
          </w:p>
        </w:tc>
        <w:tc>
          <w:tcPr>
            <w:tcW w:type="dxa" w:w="12643"/>
            <w:shd w:val="clear" w:color="auto" w:fill="D9E2F3"/>
          </w:tcPr>
          <w:p>
            <w:r/>
            <w:r>
              <w:rPr>
                <w:b/>
                <w:sz w:val="18"/>
              </w:rPr>
              <w:t>General insurers – complaints</w:t>
            </w:r>
          </w:p>
        </w:tc>
      </w:tr>
      <w:tr>
        <w:tc>
          <w:tcPr>
            <w:tcW w:type="dxa" w:w="2381"/>
          </w:tcPr>
          <w:p>
            <w:r/>
            <w:r>
              <w:rPr>
                <w:b/>
                <w:sz w:val="17"/>
              </w:rPr>
              <w:t>Rule</w:t>
            </w:r>
          </w:p>
        </w:tc>
        <w:tc>
          <w:tcPr>
            <w:tcW w:type="dxa" w:w="12643"/>
          </w:tcPr>
          <w:p>
            <w:r/>
            <w:r>
              <w:rPr>
                <w:b w:val="0"/>
                <w:sz w:val="18"/>
              </w:rPr>
              <w:t>Acknowledge complaints within 7 business days; request further info within 7 business days; update at least every 15 business days; appeal to CEO answered within 15 business days.</w:t>
            </w:r>
          </w:p>
        </w:tc>
      </w:tr>
      <w:tr>
        <w:tc>
          <w:tcPr>
            <w:tcW w:type="dxa" w:w="2381"/>
          </w:tcPr>
          <w:p>
            <w:r/>
            <w:r>
              <w:rPr>
                <w:b/>
                <w:sz w:val="17"/>
              </w:rPr>
              <w:t>Wording test</w:t>
            </w:r>
          </w:p>
        </w:tc>
        <w:tc>
          <w:tcPr>
            <w:tcW w:type="dxa" w:w="12643"/>
          </w:tcPr>
          <w:p>
            <w:r/>
            <w:r>
              <w:rPr>
                <w:b w:val="0"/>
                <w:sz w:val="18"/>
              </w:rPr>
              <w:t>Check complaints clause/customer guide for GI-issued products.</w:t>
            </w:r>
          </w:p>
        </w:tc>
      </w:tr>
      <w:tr>
        <w:tc>
          <w:tcPr>
            <w:tcW w:type="dxa" w:w="2381"/>
          </w:tcPr>
          <w:p>
            <w:r/>
            <w:r>
              <w:rPr>
                <w:b/>
                <w:sz w:val="17"/>
              </w:rPr>
              <w:t>Source</w:t>
            </w:r>
          </w:p>
        </w:tc>
        <w:tc>
          <w:tcPr>
            <w:tcW w:type="dxa" w:w="12643"/>
          </w:tcPr>
          <w:p>
            <w:r/>
            <w:r>
              <w:rPr>
                <w:b w:val="0"/>
                <w:sz w:val="18"/>
              </w:rPr>
              <w:t>The Singapore General Insurance Code of Practice (Revised Copy) — GIA — (industry code) — 25 Oct 2022</w:t>
            </w:r>
          </w:p>
        </w:tc>
      </w:tr>
      <w:tr>
        <w:tc>
          <w:tcPr>
            <w:tcW w:type="dxa" w:w="2381"/>
          </w:tcPr>
          <w:p>
            <w:r/>
            <w:r>
              <w:rPr>
                <w:b/>
                <w:sz w:val="17"/>
              </w:rPr>
              <w:t>Clause / section</w:t>
            </w:r>
          </w:p>
        </w:tc>
        <w:tc>
          <w:tcPr>
            <w:tcW w:type="dxa" w:w="12643"/>
          </w:tcPr>
          <w:p>
            <w:r/>
            <w:r>
              <w:rPr>
                <w:b w:val="0"/>
                <w:sz w:val="18"/>
              </w:rPr>
              <w:t>sections 7.1-7.2</w:t>
            </w:r>
          </w:p>
        </w:tc>
      </w:tr>
      <w:tr>
        <w:tc>
          <w:tcPr>
            <w:tcW w:type="dxa" w:w="2381"/>
          </w:tcPr>
          <w:p>
            <w:r/>
            <w:r>
              <w:rPr>
                <w:b/>
                <w:sz w:val="17"/>
              </w:rPr>
              <w:t>URL</w:t>
            </w:r>
          </w:p>
        </w:tc>
        <w:tc>
          <w:tcPr>
            <w:tcW w:type="dxa" w:w="12643"/>
          </w:tcPr>
          <w:p>
            <w:r/>
            <w:r>
              <w:rPr>
                <w:b w:val="0"/>
                <w:sz w:val="18"/>
              </w:rPr>
              <w:t>https://gia.org.sg/images/resources/For-Members/code_of_practice.pdf</w:t>
            </w:r>
          </w:p>
        </w:tc>
      </w:tr>
      <w:tr>
        <w:tc>
          <w:tcPr>
            <w:tcW w:type="dxa" w:w="2381"/>
          </w:tcPr>
          <w:p>
            <w:r/>
            <w:r>
              <w:rPr>
                <w:b/>
                <w:sz w:val="17"/>
              </w:rPr>
              <w:t>Verification</w:t>
            </w:r>
          </w:p>
        </w:tc>
        <w:tc>
          <w:tcPr>
            <w:tcW w:type="dxa" w:w="12643"/>
          </w:tcPr>
          <w:p>
            <w:r/>
            <w:r>
              <w:rPr>
                <w:b w:val="0"/>
                <w:sz w:val="18"/>
              </w:rPr>
              <w:t>Verified – primary text read</w:t>
            </w:r>
          </w:p>
        </w:tc>
      </w:tr>
    </w:tbl>
    <w:p/>
    <w:p>
      <w:pPr>
        <w:pStyle w:val="Heading2"/>
      </w:pPr>
      <w:r>
        <w:t>8. FIDReC – disputes</w:t>
      </w:r>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SG-FID-01</w:t>
            </w:r>
          </w:p>
        </w:tc>
        <w:tc>
          <w:tcPr>
            <w:tcW w:type="dxa" w:w="12643"/>
            <w:shd w:val="clear" w:color="auto" w:fill="D9E2F3"/>
          </w:tcPr>
          <w:p>
            <w:r/>
            <w:r>
              <w:rPr>
                <w:b/>
                <w:sz w:val="18"/>
              </w:rPr>
              <w:t>All FIDReC member insurers</w:t>
            </w:r>
          </w:p>
        </w:tc>
      </w:tr>
      <w:tr>
        <w:tc>
          <w:tcPr>
            <w:tcW w:type="dxa" w:w="2381"/>
          </w:tcPr>
          <w:p>
            <w:r/>
            <w:r>
              <w:rPr>
                <w:b/>
                <w:sz w:val="17"/>
              </w:rPr>
              <w:t>Rule</w:t>
            </w:r>
          </w:p>
        </w:tc>
        <w:tc>
          <w:tcPr>
            <w:tcW w:type="dxa" w:w="12643"/>
          </w:tcPr>
          <w:p>
            <w:r/>
            <w:r>
              <w:rPr>
                <w:b w:val="0"/>
                <w:sz w:val="18"/>
              </w:rPr>
              <w:t>A complainant can go to FIDReC only after first raising the matter with the insurer and either receiving an unsatisfactory outcome or after at least 4 weeks; and no later than 6 months after the insurer's final reply.</w:t>
            </w:r>
          </w:p>
        </w:tc>
      </w:tr>
      <w:tr>
        <w:tc>
          <w:tcPr>
            <w:tcW w:type="dxa" w:w="2381"/>
          </w:tcPr>
          <w:p>
            <w:r/>
            <w:r>
              <w:rPr>
                <w:b/>
                <w:sz w:val="17"/>
              </w:rPr>
              <w:t>Wording test</w:t>
            </w:r>
          </w:p>
        </w:tc>
        <w:tc>
          <w:tcPr>
            <w:tcW w:type="dxa" w:w="12643"/>
          </w:tcPr>
          <w:p>
            <w:r/>
            <w:r>
              <w:rPr>
                <w:b w:val="0"/>
                <w:sz w:val="18"/>
              </w:rPr>
              <w:t>Check complaints clause tells the policyholder to complain to the insurer first and of the FIDReC route and 6-month window.</w:t>
            </w:r>
          </w:p>
        </w:tc>
      </w:tr>
      <w:tr>
        <w:tc>
          <w:tcPr>
            <w:tcW w:type="dxa" w:w="2381"/>
          </w:tcPr>
          <w:p>
            <w:r/>
            <w:r>
              <w:rPr>
                <w:b/>
                <w:sz w:val="17"/>
              </w:rPr>
              <w:t>Source</w:t>
            </w:r>
          </w:p>
        </w:tc>
        <w:tc>
          <w:tcPr>
            <w:tcW w:type="dxa" w:w="12643"/>
          </w:tcPr>
          <w:p>
            <w:r/>
            <w:r>
              <w:rPr>
                <w:b w:val="0"/>
                <w:sz w:val="18"/>
              </w:rPr>
              <w:t>FIDReC Terms of Reference v2.2 — FIDReC — Terms of Reference v2.2 — 1 Jul 2025</w:t>
            </w:r>
          </w:p>
        </w:tc>
      </w:tr>
      <w:tr>
        <w:tc>
          <w:tcPr>
            <w:tcW w:type="dxa" w:w="2381"/>
          </w:tcPr>
          <w:p>
            <w:r/>
            <w:r>
              <w:rPr>
                <w:b/>
                <w:sz w:val="17"/>
              </w:rPr>
              <w:t>Clause / section</w:t>
            </w:r>
          </w:p>
        </w:tc>
        <w:tc>
          <w:tcPr>
            <w:tcW w:type="dxa" w:w="12643"/>
          </w:tcPr>
          <w:p>
            <w:r/>
            <w:r>
              <w:rPr>
                <w:b w:val="0"/>
                <w:sz w:val="18"/>
              </w:rPr>
              <w:t>Rules 4(1)(v), 4(2), 13(1)</w:t>
            </w:r>
          </w:p>
        </w:tc>
      </w:tr>
      <w:tr>
        <w:tc>
          <w:tcPr>
            <w:tcW w:type="dxa" w:w="2381"/>
          </w:tcPr>
          <w:p>
            <w:r/>
            <w:r>
              <w:rPr>
                <w:b/>
                <w:sz w:val="17"/>
              </w:rPr>
              <w:t>URL</w:t>
            </w:r>
          </w:p>
        </w:tc>
        <w:tc>
          <w:tcPr>
            <w:tcW w:type="dxa" w:w="12643"/>
          </w:tcPr>
          <w:p>
            <w:r/>
            <w:r>
              <w:rPr>
                <w:b w:val="0"/>
                <w:sz w:val="18"/>
              </w:rPr>
              <w:t>https://fidrec.powerappsportals.com/_entity/annotation/0587d98d-6e55-f011-bec2-0022485a9df8</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SG-FID-02</w:t>
            </w:r>
          </w:p>
        </w:tc>
        <w:tc>
          <w:tcPr>
            <w:tcW w:type="dxa" w:w="12643"/>
            <w:shd w:val="clear" w:color="auto" w:fill="D9E2F3"/>
          </w:tcPr>
          <w:p>
            <w:r/>
            <w:r>
              <w:rPr>
                <w:b/>
                <w:sz w:val="18"/>
              </w:rPr>
              <w:t>Insurer final reply letters</w:t>
            </w:r>
          </w:p>
        </w:tc>
      </w:tr>
      <w:tr>
        <w:tc>
          <w:tcPr>
            <w:tcW w:type="dxa" w:w="2381"/>
          </w:tcPr>
          <w:p>
            <w:r/>
            <w:r>
              <w:rPr>
                <w:b/>
                <w:sz w:val="17"/>
              </w:rPr>
              <w:t>Rule</w:t>
            </w:r>
          </w:p>
        </w:tc>
        <w:tc>
          <w:tcPr>
            <w:tcW w:type="dxa" w:w="12643"/>
          </w:tcPr>
          <w:p>
            <w:r/>
            <w:r>
              <w:rPr>
                <w:b w:val="0"/>
                <w:sz w:val="18"/>
              </w:rPr>
              <w:t>A 'final reply' must expressly state it is the insurer's final reply, inform the complainant that they may contact FIDReC within six months of the letter, include FIDReC's contact particulars, and leave no outstanding issues.</w:t>
            </w:r>
          </w:p>
        </w:tc>
      </w:tr>
      <w:tr>
        <w:tc>
          <w:tcPr>
            <w:tcW w:type="dxa" w:w="2381"/>
          </w:tcPr>
          <w:p>
            <w:r/>
            <w:r>
              <w:rPr>
                <w:b/>
                <w:sz w:val="17"/>
              </w:rPr>
              <w:t>Wording test</w:t>
            </w:r>
          </w:p>
        </w:tc>
        <w:tc>
          <w:tcPr>
            <w:tcW w:type="dxa" w:w="12643"/>
          </w:tcPr>
          <w:p>
            <w:r/>
            <w:r>
              <w:rPr>
                <w:b w:val="0"/>
                <w:sz w:val="18"/>
              </w:rPr>
              <w:t>Audit claim-rejection / complaint final-reply templates for all four elements; without them the 6-month clock is disputable.</w:t>
            </w:r>
          </w:p>
        </w:tc>
      </w:tr>
      <w:tr>
        <w:tc>
          <w:tcPr>
            <w:tcW w:type="dxa" w:w="2381"/>
          </w:tcPr>
          <w:p>
            <w:r/>
            <w:r>
              <w:rPr>
                <w:b/>
                <w:sz w:val="17"/>
              </w:rPr>
              <w:t>Source</w:t>
            </w:r>
          </w:p>
        </w:tc>
        <w:tc>
          <w:tcPr>
            <w:tcW w:type="dxa" w:w="12643"/>
          </w:tcPr>
          <w:p>
            <w:r/>
            <w:r>
              <w:rPr>
                <w:b w:val="0"/>
                <w:sz w:val="18"/>
              </w:rPr>
              <w:t>FIDReC Terms of Reference v2.2 — FIDReC — Terms of Reference v2.2 — 1 Jul 2025</w:t>
            </w:r>
          </w:p>
        </w:tc>
      </w:tr>
      <w:tr>
        <w:tc>
          <w:tcPr>
            <w:tcW w:type="dxa" w:w="2381"/>
          </w:tcPr>
          <w:p>
            <w:r/>
            <w:r>
              <w:rPr>
                <w:b/>
                <w:sz w:val="17"/>
              </w:rPr>
              <w:t>Clause / section</w:t>
            </w:r>
          </w:p>
        </w:tc>
        <w:tc>
          <w:tcPr>
            <w:tcW w:type="dxa" w:w="12643"/>
          </w:tcPr>
          <w:p>
            <w:r/>
            <w:r>
              <w:rPr>
                <w:b w:val="0"/>
                <w:sz w:val="18"/>
              </w:rPr>
              <w:t>Rule 13(2)</w:t>
            </w:r>
          </w:p>
        </w:tc>
      </w:tr>
      <w:tr>
        <w:tc>
          <w:tcPr>
            <w:tcW w:type="dxa" w:w="2381"/>
          </w:tcPr>
          <w:p>
            <w:r/>
            <w:r>
              <w:rPr>
                <w:b/>
                <w:sz w:val="17"/>
              </w:rPr>
              <w:t>URL</w:t>
            </w:r>
          </w:p>
        </w:tc>
        <w:tc>
          <w:tcPr>
            <w:tcW w:type="dxa" w:w="12643"/>
          </w:tcPr>
          <w:p>
            <w:r/>
            <w:r>
              <w:rPr>
                <w:b w:val="0"/>
                <w:sz w:val="18"/>
              </w:rPr>
              <w:t>https://fidrec.powerappsportals.com/_entity/annotation/0587d98d-6e55-f011-bec2-0022485a9df8</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SG-FID-03</w:t>
            </w:r>
          </w:p>
        </w:tc>
        <w:tc>
          <w:tcPr>
            <w:tcW w:type="dxa" w:w="12643"/>
            <w:shd w:val="clear" w:color="auto" w:fill="D9E2F3"/>
          </w:tcPr>
          <w:p>
            <w:r/>
            <w:r>
              <w:rPr>
                <w:b/>
                <w:sz w:val="18"/>
              </w:rPr>
              <w:t>FIDReC adjudication limits</w:t>
            </w:r>
          </w:p>
        </w:tc>
      </w:tr>
      <w:tr>
        <w:tc>
          <w:tcPr>
            <w:tcW w:type="dxa" w:w="2381"/>
          </w:tcPr>
          <w:p>
            <w:r/>
            <w:r>
              <w:rPr>
                <w:b/>
                <w:sz w:val="17"/>
              </w:rPr>
              <w:t>Rule</w:t>
            </w:r>
          </w:p>
        </w:tc>
        <w:tc>
          <w:tcPr>
            <w:tcW w:type="dxa" w:w="12643"/>
          </w:tcPr>
          <w:p>
            <w:r/>
            <w:r>
              <w:rPr>
                <w:b w:val="0"/>
                <w:sz w:val="18"/>
              </w:rPr>
              <w:t>Adjudication is limited to S$150,000 per claim (higher only if the insurer agrees, or the complainant limits the claim). Disputes involving only non-monetary loss are not adjudicated. An award binds the insurer if the complainant accepts; the complainant may reject it and go to court. No punitive damages; consequential loss may be included.</w:t>
            </w:r>
          </w:p>
        </w:tc>
      </w:tr>
      <w:tr>
        <w:tc>
          <w:tcPr>
            <w:tcW w:type="dxa" w:w="2381"/>
          </w:tcPr>
          <w:p>
            <w:r/>
            <w:r>
              <w:rPr>
                <w:b/>
                <w:sz w:val="17"/>
              </w:rPr>
              <w:t>Wording test</w:t>
            </w:r>
          </w:p>
        </w:tc>
        <w:tc>
          <w:tcPr>
            <w:tcW w:type="dxa" w:w="12643"/>
          </w:tcPr>
          <w:p>
            <w:r/>
            <w:r>
              <w:rPr>
                <w:b w:val="0"/>
                <w:sz w:val="18"/>
              </w:rPr>
              <w:t>Informational for gap analysis (compare IRDAI Ombudsman). Check wording does not purport to deprive the policyholder of FIDReC or court recourse.</w:t>
            </w:r>
          </w:p>
        </w:tc>
      </w:tr>
      <w:tr>
        <w:tc>
          <w:tcPr>
            <w:tcW w:type="dxa" w:w="2381"/>
          </w:tcPr>
          <w:p>
            <w:r/>
            <w:r>
              <w:rPr>
                <w:b/>
                <w:sz w:val="17"/>
              </w:rPr>
              <w:t>Source</w:t>
            </w:r>
          </w:p>
        </w:tc>
        <w:tc>
          <w:tcPr>
            <w:tcW w:type="dxa" w:w="12643"/>
          </w:tcPr>
          <w:p>
            <w:r/>
            <w:r>
              <w:rPr>
                <w:b w:val="0"/>
                <w:sz w:val="18"/>
              </w:rPr>
              <w:t>FIDReC Terms of Reference v2.2 — FIDReC — Terms of Reference v2.2 — 1 Jul 2025</w:t>
            </w:r>
          </w:p>
        </w:tc>
      </w:tr>
      <w:tr>
        <w:tc>
          <w:tcPr>
            <w:tcW w:type="dxa" w:w="2381"/>
          </w:tcPr>
          <w:p>
            <w:r/>
            <w:r>
              <w:rPr>
                <w:b/>
                <w:sz w:val="17"/>
              </w:rPr>
              <w:t>Clause / section</w:t>
            </w:r>
          </w:p>
        </w:tc>
        <w:tc>
          <w:tcPr>
            <w:tcW w:type="dxa" w:w="12643"/>
          </w:tcPr>
          <w:p>
            <w:r/>
            <w:r>
              <w:rPr>
                <w:b w:val="0"/>
                <w:sz w:val="18"/>
              </w:rPr>
              <w:t>Rules 21(2), 26(3)-(8), 28, 29(1)</w:t>
            </w:r>
          </w:p>
        </w:tc>
      </w:tr>
      <w:tr>
        <w:tc>
          <w:tcPr>
            <w:tcW w:type="dxa" w:w="2381"/>
          </w:tcPr>
          <w:p>
            <w:r/>
            <w:r>
              <w:rPr>
                <w:b/>
                <w:sz w:val="17"/>
              </w:rPr>
              <w:t>URL</w:t>
            </w:r>
          </w:p>
        </w:tc>
        <w:tc>
          <w:tcPr>
            <w:tcW w:type="dxa" w:w="12643"/>
          </w:tcPr>
          <w:p>
            <w:r/>
            <w:r>
              <w:rPr>
                <w:b w:val="0"/>
                <w:sz w:val="18"/>
              </w:rPr>
              <w:t>https://fidrec.powerappsportals.com/_entity/annotation/0587d98d-6e55-f011-bec2-0022485a9df8</w:t>
            </w:r>
          </w:p>
        </w:tc>
      </w:tr>
      <w:tr>
        <w:tc>
          <w:tcPr>
            <w:tcW w:type="dxa" w:w="2381"/>
          </w:tcPr>
          <w:p>
            <w:r/>
            <w:r>
              <w:rPr>
                <w:b/>
                <w:sz w:val="17"/>
              </w:rPr>
              <w:t>Verification</w:t>
            </w:r>
          </w:p>
        </w:tc>
        <w:tc>
          <w:tcPr>
            <w:tcW w:type="dxa" w:w="12643"/>
          </w:tcPr>
          <w:p>
            <w:r/>
            <w:r>
              <w:rPr>
                <w:b w:val="0"/>
                <w:sz w:val="18"/>
              </w:rPr>
              <w:t>Verified – primary text read</w:t>
            </w:r>
          </w:p>
        </w:tc>
      </w:tr>
    </w:tbl>
    <w:p/>
    <w:tbl>
      <w:tblPr>
        <w:tblStyle w:val="TableGrid"/>
        <w:tblW w:type="auto" w:w="0"/>
        <w:tblLook w:firstColumn="1" w:firstRow="1" w:lastColumn="0" w:lastRow="0" w:noHBand="0" w:noVBand="1" w:val="04A0"/>
      </w:tblPr>
      <w:tblGrid>
        <w:gridCol w:w="7013"/>
        <w:gridCol w:w="7013"/>
      </w:tblGrid>
      <w:tr>
        <w:tc>
          <w:tcPr>
            <w:tcW w:type="dxa" w:w="2381"/>
            <w:shd w:val="clear" w:color="auto" w:fill="D9E2F3"/>
          </w:tcPr>
          <w:p>
            <w:r/>
            <w:r>
              <w:rPr>
                <w:b/>
                <w:sz w:val="17"/>
              </w:rPr>
              <w:t>SG-FID-04</w:t>
            </w:r>
          </w:p>
        </w:tc>
        <w:tc>
          <w:tcPr>
            <w:tcW w:type="dxa" w:w="12643"/>
            <w:shd w:val="clear" w:color="auto" w:fill="D9E2F3"/>
          </w:tcPr>
          <w:p>
            <w:r/>
            <w:r>
              <w:rPr>
                <w:b/>
                <w:sz w:val="18"/>
              </w:rPr>
              <w:t>FIDReC scope &amp; fees</w:t>
            </w:r>
          </w:p>
        </w:tc>
      </w:tr>
      <w:tr>
        <w:tc>
          <w:tcPr>
            <w:tcW w:type="dxa" w:w="2381"/>
          </w:tcPr>
          <w:p>
            <w:r/>
            <w:r>
              <w:rPr>
                <w:b/>
                <w:sz w:val="17"/>
              </w:rPr>
              <w:t>Rule</w:t>
            </w:r>
          </w:p>
        </w:tc>
        <w:tc>
          <w:tcPr>
            <w:tcW w:type="dxa" w:w="12643"/>
          </w:tcPr>
          <w:p>
            <w:r/>
            <w:r>
              <w:rPr>
                <w:b w:val="0"/>
                <w:sz w:val="18"/>
              </w:rPr>
              <w:t>Excluded: commercial decisions (incl. insurance underwriting assessments), pricing/fees policies, investment performance only, matters under police investigation, complaints &gt; 6 months after final reply, privately settled or court-decided cases. Eligible complainants include insureds and persons for whose benefit insurance was taken out. Adjudication fee for individual complainants: S$50 (non-NIMA cases).</w:t>
            </w:r>
          </w:p>
        </w:tc>
      </w:tr>
      <w:tr>
        <w:tc>
          <w:tcPr>
            <w:tcW w:type="dxa" w:w="2381"/>
          </w:tcPr>
          <w:p>
            <w:r/>
            <w:r>
              <w:rPr>
                <w:b/>
                <w:sz w:val="17"/>
              </w:rPr>
              <w:t>Wording test</w:t>
            </w:r>
          </w:p>
        </w:tc>
        <w:tc>
          <w:tcPr>
            <w:tcW w:type="dxa" w:w="12643"/>
          </w:tcPr>
          <w:p>
            <w:r/>
            <w:r>
              <w:rPr>
                <w:b w:val="0"/>
                <w:sz w:val="18"/>
              </w:rPr>
              <w:t>Informational: underwriting declines/loadings cannot be taken to FIDReC – check whether the insurer offers an internal underwriting appeal.</w:t>
            </w:r>
          </w:p>
        </w:tc>
      </w:tr>
      <w:tr>
        <w:tc>
          <w:tcPr>
            <w:tcW w:type="dxa" w:w="2381"/>
          </w:tcPr>
          <w:p>
            <w:r/>
            <w:r>
              <w:rPr>
                <w:b/>
                <w:sz w:val="17"/>
              </w:rPr>
              <w:t>Source</w:t>
            </w:r>
          </w:p>
        </w:tc>
        <w:tc>
          <w:tcPr>
            <w:tcW w:type="dxa" w:w="12643"/>
          </w:tcPr>
          <w:p>
            <w:r/>
            <w:r>
              <w:rPr>
                <w:b w:val="0"/>
                <w:sz w:val="18"/>
              </w:rPr>
              <w:t>FIDReC Terms of Reference v2.2 — FIDReC — Terms of Reference v2.2 — 1 Jul 2025</w:t>
            </w:r>
          </w:p>
        </w:tc>
      </w:tr>
      <w:tr>
        <w:tc>
          <w:tcPr>
            <w:tcW w:type="dxa" w:w="2381"/>
          </w:tcPr>
          <w:p>
            <w:r/>
            <w:r>
              <w:rPr>
                <w:b/>
                <w:sz w:val="17"/>
              </w:rPr>
              <w:t>Clause / section</w:t>
            </w:r>
          </w:p>
        </w:tc>
        <w:tc>
          <w:tcPr>
            <w:tcW w:type="dxa" w:w="12643"/>
          </w:tcPr>
          <w:p>
            <w:r/>
            <w:r>
              <w:rPr>
                <w:b w:val="0"/>
                <w:sz w:val="18"/>
              </w:rPr>
              <w:t>Rules 5, 6; Annex 1 paras 6.3-6.6</w:t>
            </w:r>
          </w:p>
        </w:tc>
      </w:tr>
      <w:tr>
        <w:tc>
          <w:tcPr>
            <w:tcW w:type="dxa" w:w="2381"/>
          </w:tcPr>
          <w:p>
            <w:r/>
            <w:r>
              <w:rPr>
                <w:b/>
                <w:sz w:val="17"/>
              </w:rPr>
              <w:t>URL</w:t>
            </w:r>
          </w:p>
        </w:tc>
        <w:tc>
          <w:tcPr>
            <w:tcW w:type="dxa" w:w="12643"/>
          </w:tcPr>
          <w:p>
            <w:r/>
            <w:r>
              <w:rPr>
                <w:b w:val="0"/>
                <w:sz w:val="18"/>
              </w:rPr>
              <w:t>https://fidrec.powerappsportals.com/_entity/annotation/0587d98d-6e55-f011-bec2-0022485a9df8</w:t>
            </w:r>
          </w:p>
        </w:tc>
      </w:tr>
      <w:tr>
        <w:tc>
          <w:tcPr>
            <w:tcW w:type="dxa" w:w="2381"/>
          </w:tcPr>
          <w:p>
            <w:r/>
            <w:r>
              <w:rPr>
                <w:b/>
                <w:sz w:val="17"/>
              </w:rPr>
              <w:t>Verification</w:t>
            </w:r>
          </w:p>
        </w:tc>
        <w:tc>
          <w:tcPr>
            <w:tcW w:type="dxa" w:w="12643"/>
          </w:tcPr>
          <w:p>
            <w:r/>
            <w:r>
              <w:rPr>
                <w:b w:val="0"/>
                <w:sz w:val="18"/>
              </w:rPr>
              <w:t>Verified – primary text read</w:t>
            </w:r>
          </w:p>
        </w:tc>
      </w:tr>
    </w:tbl>
    <w:p/>
    <w:p>
      <w:pPr>
        <w:pStyle w:val="Heading1"/>
      </w:pPr>
      <w:r>
        <w:t>6. IRDAI (India) to Singapore mapping</w:t>
      </w:r>
    </w:p>
    <w:p>
      <w:r>
        <w:rPr>
          <w:b w:val="0"/>
          <w:i/>
          <w:sz w:val="18"/>
        </w:rPr>
        <w:t>The IRDAI column lists topic headings from the IRDAI Master Circular on Health Insurance Business (29 May 2024) and the 2020 proportionate-deduction circular as named in the brief. IRDAI rule text was not re-verified here; use the India rulebook for the IRDAI side.</w:t>
      </w:r>
    </w:p>
    <w:tbl>
      <w:tblPr>
        <w:tblStyle w:val="TableGrid"/>
        <w:tblW w:type="auto" w:w="0"/>
        <w:tblLook w:firstColumn="1" w:firstRow="1" w:lastColumn="0" w:lastRow="0" w:noHBand="0" w:noVBand="1" w:val="04A0"/>
      </w:tblPr>
      <w:tblGrid>
        <w:gridCol w:w="3506"/>
        <w:gridCol w:w="3506"/>
        <w:gridCol w:w="3506"/>
        <w:gridCol w:w="3506"/>
      </w:tblGrid>
      <w:tr>
        <w:trPr>
          <w:tblHeader w:val="true"/>
        </w:trPr>
        <w:tc>
          <w:tcPr>
            <w:tcW w:type="dxa" w:w="2835"/>
            <w:shd w:val="clear" w:color="auto" w:fill="1F3864"/>
          </w:tcPr>
          <w:p>
            <w:r/>
            <w:r>
              <w:rPr>
                <w:b/>
                <w:color w:val="FFFFFF"/>
                <w:sz w:val="17"/>
              </w:rPr>
              <w:t>IRDAI topic</w:t>
            </w:r>
          </w:p>
        </w:tc>
        <w:tc>
          <w:tcPr>
            <w:tcW w:type="dxa" w:w="8504"/>
            <w:shd w:val="clear" w:color="auto" w:fill="1F3864"/>
          </w:tcPr>
          <w:p>
            <w:r/>
            <w:r>
              <w:rPr>
                <w:b/>
                <w:color w:val="FFFFFF"/>
                <w:sz w:val="17"/>
              </w:rPr>
              <w:t>Singapore position</w:t>
            </w:r>
          </w:p>
        </w:tc>
        <w:tc>
          <w:tcPr>
            <w:tcW w:type="dxa" w:w="2268"/>
            <w:shd w:val="clear" w:color="auto" w:fill="1F3864"/>
          </w:tcPr>
          <w:p>
            <w:r/>
            <w:r>
              <w:rPr>
                <w:b/>
                <w:color w:val="FFFFFF"/>
                <w:sz w:val="17"/>
              </w:rPr>
              <w:t>Rule IDs</w:t>
            </w:r>
          </w:p>
        </w:tc>
        <w:tc>
          <w:tcPr>
            <w:tcW w:type="dxa" w:w="1701"/>
            <w:shd w:val="clear" w:color="auto" w:fill="1F3864"/>
          </w:tcPr>
          <w:p>
            <w:r/>
            <w:r>
              <w:rPr>
                <w:b/>
                <w:color w:val="FFFFFF"/>
                <w:sz w:val="17"/>
              </w:rPr>
              <w:t>Equivalence</w:t>
            </w:r>
          </w:p>
        </w:tc>
      </w:tr>
      <w:tr>
        <w:tc>
          <w:tcPr>
            <w:tcW w:type="dxa" w:w="2835"/>
          </w:tcPr>
          <w:p>
            <w:r/>
            <w:r>
              <w:rPr>
                <w:sz w:val="17"/>
              </w:rPr>
              <w:t>Moratorium period (no contestability after continuous cover)</w:t>
            </w:r>
          </w:p>
        </w:tc>
        <w:tc>
          <w:tcPr>
            <w:tcW w:type="dxa" w:w="8504"/>
          </w:tcPr>
          <w:p>
            <w:r/>
            <w:r>
              <w:rPr>
                <w:sz w:val="17"/>
              </w:rPr>
              <w:t>No direct equivalent. No statutory moratorium/incontestability for A&amp;H policies located in the Insurance Act 1966 (2020 Rev Ed). Insurer may avoid for material non-disclosure under common-law utmost good faith (MAS FDG footnote 9). For IPs, avoidance triggers PMIS reg 9(3) refund rules.</w:t>
            </w:r>
          </w:p>
        </w:tc>
        <w:tc>
          <w:tcPr>
            <w:tcW w:type="dxa" w:w="2268"/>
          </w:tcPr>
          <w:p>
            <w:r/>
            <w:r>
              <w:rPr>
                <w:sz w:val="17"/>
              </w:rPr>
              <w:t>SG-PMIS-05, SG-MAS-04, SG-IA-01</w:t>
            </w:r>
          </w:p>
        </w:tc>
        <w:tc>
          <w:tcPr>
            <w:tcW w:type="dxa" w:w="1701"/>
          </w:tcPr>
          <w:p>
            <w:r/>
            <w:r>
              <w:rPr>
                <w:sz w:val="17"/>
              </w:rPr>
              <w:t>No direct equivalent</w:t>
            </w:r>
          </w:p>
        </w:tc>
      </w:tr>
      <w:tr>
        <w:tc>
          <w:tcPr>
            <w:tcW w:type="dxa" w:w="2835"/>
          </w:tcPr>
          <w:p>
            <w:r/>
            <w:r>
              <w:rPr>
                <w:sz w:val="17"/>
              </w:rPr>
              <w:t>Waiting periods (initial, specific disease, PED)</w:t>
            </w:r>
          </w:p>
        </w:tc>
        <w:tc>
          <w:tcPr>
            <w:tcW w:type="dxa" w:w="8504"/>
          </w:tcPr>
          <w:p>
            <w:r/>
            <w:r>
              <w:rPr>
                <w:sz w:val="17"/>
              </w:rPr>
              <w:t>Partial equivalent – disclosure only. Insurers set their own waiting periods (LIA abolished the standard 90-day CI waiting period from 16 Nov 2022); they must be clearly stated in the product summary. No regulatory maximum. MediShield Life has no waiting period for pre-existing conditions (loading instead).</w:t>
            </w:r>
          </w:p>
        </w:tc>
        <w:tc>
          <w:tcPr>
            <w:tcW w:type="dxa" w:w="2268"/>
          </w:tcPr>
          <w:p>
            <w:r/>
            <w:r>
              <w:rPr>
                <w:sz w:val="17"/>
              </w:rPr>
              <w:t>SG-LG-03, SG-LIA-04, SG-MSHL-05</w:t>
            </w:r>
          </w:p>
        </w:tc>
        <w:tc>
          <w:tcPr>
            <w:tcW w:type="dxa" w:w="1701"/>
          </w:tcPr>
          <w:p>
            <w:r/>
            <w:r>
              <w:rPr>
                <w:sz w:val="17"/>
              </w:rPr>
              <w:t>Partial (disclosure-only)</w:t>
            </w:r>
          </w:p>
        </w:tc>
      </w:tr>
      <w:tr>
        <w:tc>
          <w:tcPr>
            <w:tcW w:type="dxa" w:w="2835"/>
          </w:tcPr>
          <w:p>
            <w:r/>
            <w:r>
              <w:rPr>
                <w:sz w:val="17"/>
              </w:rPr>
              <w:t>Pre-existing disease (PED) definition</w:t>
            </w:r>
          </w:p>
        </w:tc>
        <w:tc>
          <w:tcPr>
            <w:tcW w:type="dxa" w:w="8504"/>
          </w:tcPr>
          <w:p>
            <w:r/>
            <w:r>
              <w:rPr>
                <w:sz w:val="17"/>
              </w:rPr>
              <w:t>Partial equivalent. No statutory definition. Industry specimen definition in LIA/GIA A&amp;H Guidelines (Nov 2025) Appendix II: 'any known medical condition ... suffering on or before issuance ... including treatment, medication or advice received before issuance'. MediShield Life covers PECs (30% loading for 10 years for listed serious PECs); IP private component may exclude PECs.</w:t>
            </w:r>
          </w:p>
        </w:tc>
        <w:tc>
          <w:tcPr>
            <w:tcW w:type="dxa" w:w="2268"/>
          </w:tcPr>
          <w:p>
            <w:r/>
            <w:r>
              <w:rPr>
                <w:sz w:val="17"/>
              </w:rPr>
              <w:t>SG-LG-04, SG-MSHL-05, SG-IP-01</w:t>
            </w:r>
          </w:p>
        </w:tc>
        <w:tc>
          <w:tcPr>
            <w:tcW w:type="dxa" w:w="1701"/>
          </w:tcPr>
          <w:p>
            <w:r/>
            <w:r>
              <w:rPr>
                <w:sz w:val="17"/>
              </w:rPr>
              <w:t>Partial (specimen, not mandated)</w:t>
            </w:r>
          </w:p>
        </w:tc>
      </w:tr>
      <w:tr>
        <w:tc>
          <w:tcPr>
            <w:tcW w:type="dxa" w:w="2835"/>
          </w:tcPr>
          <w:p>
            <w:r/>
            <w:r>
              <w:rPr>
                <w:sz w:val="17"/>
              </w:rPr>
              <w:t>Proportionate deduction (room-rent-linked; IRDAI 2020 circular limits items it may apply to)</w:t>
            </w:r>
          </w:p>
        </w:tc>
        <w:tc>
          <w:tcPr>
            <w:tcW w:type="dxa" w:w="8504"/>
          </w:tcPr>
          <w:p>
            <w:r/>
            <w:r>
              <w:rPr>
                <w:sz w:val="17"/>
              </w:rPr>
              <w:t>Closest equivalent: MediShield Life pro-ration factors by ward class/hospital type and citizen/PR status (CPF Board table), applied before claim computation. IP-level pro-ration is insurer-set (no MOH/MAS rule located – unverified). No Singapore rule limiting which bill items can be pro-rated (unlike IRDAI's exclusion of pharmacy, consumables, implants, diagnostics).</w:t>
            </w:r>
          </w:p>
        </w:tc>
        <w:tc>
          <w:tcPr>
            <w:tcW w:type="dxa" w:w="2268"/>
          </w:tcPr>
          <w:p>
            <w:r/>
            <w:r>
              <w:rPr>
                <w:sz w:val="17"/>
              </w:rPr>
              <w:t>SG-MSHL-04, SG-IP-02</w:t>
            </w:r>
          </w:p>
        </w:tc>
        <w:tc>
          <w:tcPr>
            <w:tcW w:type="dxa" w:w="1701"/>
          </w:tcPr>
          <w:p>
            <w:r/>
            <w:r>
              <w:rPr>
                <w:sz w:val="17"/>
              </w:rPr>
              <w:t>Partial (different mechanism)</w:t>
            </w:r>
          </w:p>
        </w:tc>
      </w:tr>
      <w:tr>
        <w:tc>
          <w:tcPr>
            <w:tcW w:type="dxa" w:w="2835"/>
          </w:tcPr>
          <w:p>
            <w:r/>
            <w:r>
              <w:rPr>
                <w:sz w:val="17"/>
              </w:rPr>
              <w:t>Claim settlement timelines</w:t>
            </w:r>
          </w:p>
        </w:tc>
        <w:tc>
          <w:tcPr>
            <w:tcW w:type="dxa" w:w="8504"/>
          </w:tcPr>
          <w:p>
            <w:r/>
            <w:r>
              <w:rPr>
                <w:sz w:val="17"/>
              </w:rPr>
              <w:t>No statutory/MAS timeline for health claims. MAS expects clear claims procedures and service standards (RMG 3.5; FDG 1.3.1(c)). GIA Code (general insurers): acknowledge 3 business days, decide 7 business days after full information, pay 10 business days. No LIA equivalent for life insurers located.</w:t>
            </w:r>
          </w:p>
        </w:tc>
        <w:tc>
          <w:tcPr>
            <w:tcW w:type="dxa" w:w="2268"/>
          </w:tcPr>
          <w:p>
            <w:r/>
            <w:r>
              <w:rPr>
                <w:sz w:val="17"/>
              </w:rPr>
              <w:t>SG-MAS-03, SG-MAS-05, SG-GIA-02</w:t>
            </w:r>
          </w:p>
        </w:tc>
        <w:tc>
          <w:tcPr>
            <w:tcW w:type="dxa" w:w="1701"/>
          </w:tcPr>
          <w:p>
            <w:r/>
            <w:r>
              <w:rPr>
                <w:sz w:val="17"/>
              </w:rPr>
              <w:t>Partial (GI industry code only)</w:t>
            </w:r>
          </w:p>
        </w:tc>
      </w:tr>
      <w:tr>
        <w:tc>
          <w:tcPr>
            <w:tcW w:type="dxa" w:w="2835"/>
          </w:tcPr>
          <w:p>
            <w:r/>
            <w:r>
              <w:rPr>
                <w:sz w:val="17"/>
              </w:rPr>
              <w:t>Cashless facility / pre-authorisation timelines</w:t>
            </w:r>
          </w:p>
        </w:tc>
        <w:tc>
          <w:tcPr>
            <w:tcW w:type="dxa" w:w="8504"/>
          </w:tcPr>
          <w:p>
            <w:r/>
            <w:r>
              <w:rPr>
                <w:sz w:val="17"/>
              </w:rPr>
              <w:t>No direct equivalent mandate. MediShield Life/IP claims are filed by the medical institution/insurer and paid directly to the hospital (MOH claim page); IP panels, pre-authorisation and Letters of Guarantee are insurer/industry practice (LIA good practices 2018; MOH IP page). No regulator-set authorisation turnaround time.</w:t>
            </w:r>
          </w:p>
        </w:tc>
        <w:tc>
          <w:tcPr>
            <w:tcW w:type="dxa" w:w="2268"/>
          </w:tcPr>
          <w:p>
            <w:r/>
            <w:r>
              <w:rPr>
                <w:sz w:val="17"/>
              </w:rPr>
              <w:t>SG-IP-03, SG-LIA-05, SG-RID-04</w:t>
            </w:r>
          </w:p>
        </w:tc>
        <w:tc>
          <w:tcPr>
            <w:tcW w:type="dxa" w:w="1701"/>
          </w:tcPr>
          <w:p>
            <w:r/>
            <w:r>
              <w:rPr>
                <w:sz w:val="17"/>
              </w:rPr>
              <w:t>No direct equivalent (industry practice)</w:t>
            </w:r>
          </w:p>
        </w:tc>
      </w:tr>
      <w:tr>
        <w:tc>
          <w:tcPr>
            <w:tcW w:type="dxa" w:w="2835"/>
          </w:tcPr>
          <w:p>
            <w:r/>
            <w:r>
              <w:rPr>
                <w:sz w:val="17"/>
              </w:rPr>
              <w:t>Free look period</w:t>
            </w:r>
          </w:p>
        </w:tc>
        <w:tc>
          <w:tcPr>
            <w:tcW w:type="dxa" w:w="8504"/>
          </w:tcPr>
          <w:p>
            <w:r/>
            <w:r>
              <w:rPr>
                <w:sz w:val="17"/>
              </w:rPr>
              <w:t>Direct equivalent. Minimum 14 days from receipt for life and A&amp;H policies of ≥1 year (Insurance (General Provisions) Regs reg 8); refund less underwriting expenses; IP private-component premiums fully refunded within free look (PMIS reg 9(1)). GIA members: ≥14 business days.</w:t>
            </w:r>
          </w:p>
        </w:tc>
        <w:tc>
          <w:tcPr>
            <w:tcW w:type="dxa" w:w="2268"/>
          </w:tcPr>
          <w:p>
            <w:r/>
            <w:r>
              <w:rPr>
                <w:sz w:val="17"/>
              </w:rPr>
              <w:t>SG-IA-05, SG-IA-06, SG-PMIS-04, SG-LG-05, SG-GIA-01</w:t>
            </w:r>
          </w:p>
        </w:tc>
        <w:tc>
          <w:tcPr>
            <w:tcW w:type="dxa" w:w="1701"/>
          </w:tcPr>
          <w:p>
            <w:r/>
            <w:r>
              <w:rPr>
                <w:sz w:val="17"/>
              </w:rPr>
              <w:t>Direct equivalent</w:t>
            </w:r>
          </w:p>
        </w:tc>
      </w:tr>
      <w:tr>
        <w:tc>
          <w:tcPr>
            <w:tcW w:type="dxa" w:w="2835"/>
          </w:tcPr>
          <w:p>
            <w:r/>
            <w:r>
              <w:rPr>
                <w:sz w:val="17"/>
              </w:rPr>
              <w:t>Renewability (lifelong renewal; no denial on claims)</w:t>
            </w:r>
          </w:p>
        </w:tc>
        <w:tc>
          <w:tcPr>
            <w:tcW w:type="dxa" w:w="8504"/>
          </w:tcPr>
          <w:p>
            <w:r/>
            <w:r>
              <w:rPr>
                <w:sz w:val="17"/>
              </w:rPr>
              <w:t>Partial. MediShield Life is lifelong for citizens/PRs (MSHL Act s 3(3)). A 'long-term A&amp;H policy' cannot contain insurer unilateral termination other than for fraud/material non-disclosure (IA First Schedule para 9). Short-term renewable A&amp;H policies must carry the Notice 120 Appendix D 'not required to renew' statement. No primary source located mandating lifetime renewability of IP private components.</w:t>
            </w:r>
          </w:p>
        </w:tc>
        <w:tc>
          <w:tcPr>
            <w:tcW w:type="dxa" w:w="2268"/>
          </w:tcPr>
          <w:p>
            <w:r/>
            <w:r>
              <w:rPr>
                <w:sz w:val="17"/>
              </w:rPr>
              <w:t>SG-IA-04, SG-N120-04, SG-LG-02(k), SG-LG-07</w:t>
            </w:r>
          </w:p>
        </w:tc>
        <w:tc>
          <w:tcPr>
            <w:tcW w:type="dxa" w:w="1701"/>
          </w:tcPr>
          <w:p>
            <w:r/>
            <w:r>
              <w:rPr>
                <w:sz w:val="17"/>
              </w:rPr>
              <w:t>Partial</w:t>
            </w:r>
          </w:p>
        </w:tc>
      </w:tr>
      <w:tr>
        <w:tc>
          <w:tcPr>
            <w:tcW w:type="dxa" w:w="2835"/>
          </w:tcPr>
          <w:p>
            <w:r/>
            <w:r>
              <w:rPr>
                <w:sz w:val="17"/>
              </w:rPr>
              <w:t>Portability (credit for waiting periods on switching insurer)</w:t>
            </w:r>
          </w:p>
        </w:tc>
        <w:tc>
          <w:tcPr>
            <w:tcW w:type="dxa" w:w="8504"/>
          </w:tcPr>
          <w:p>
            <w:r/>
            <w:r>
              <w:rPr>
                <w:sz w:val="17"/>
              </w:rPr>
              <w:t>No direct equivalent. No right to carry waiting-period/PEC credit to a new insurer. Instead: mandatory disclosure of switching risks (Notice 120 paras 44-46, App A), and 30-day reinstatement without health declaration if an IP was terminated to switch (App A-6 para 26). MediShield Life cover continues regardless of switching.</w:t>
            </w:r>
          </w:p>
        </w:tc>
        <w:tc>
          <w:tcPr>
            <w:tcW w:type="dxa" w:w="2268"/>
          </w:tcPr>
          <w:p>
            <w:r/>
            <w:r>
              <w:rPr>
                <w:sz w:val="17"/>
              </w:rPr>
              <w:t>SG-N120-11, SG-N120-13, SG-PMIS-03</w:t>
            </w:r>
          </w:p>
        </w:tc>
        <w:tc>
          <w:tcPr>
            <w:tcW w:type="dxa" w:w="1701"/>
          </w:tcPr>
          <w:p>
            <w:r/>
            <w:r>
              <w:rPr>
                <w:sz w:val="17"/>
              </w:rPr>
              <w:t>No direct equivalent</w:t>
            </w:r>
          </w:p>
        </w:tc>
      </w:tr>
      <w:tr>
        <w:tc>
          <w:tcPr>
            <w:tcW w:type="dxa" w:w="2835"/>
          </w:tcPr>
          <w:p>
            <w:r/>
            <w:r>
              <w:rPr>
                <w:sz w:val="17"/>
              </w:rPr>
              <w:t>Grievance redressal (insurer GRO, Bima Bharosa, Ombudsman)</w:t>
            </w:r>
          </w:p>
        </w:tc>
        <w:tc>
          <w:tcPr>
            <w:tcW w:type="dxa" w:w="8504"/>
          </w:tcPr>
          <w:p>
            <w:r/>
            <w:r>
              <w:rPr>
                <w:sz w:val="17"/>
              </w:rPr>
              <w:t>Equivalent. Insurer internal dispute resolution expected by MAS (FDG Outcome 5); FIDReC (sole approved scheme) after insurer's final reply/4 weeks, within 6 months; mediation then adjudication up to S$150,000 per claim; binding on insurer if consumer accepts. GIA Code complaint timelines for general insurers.</w:t>
            </w:r>
          </w:p>
        </w:tc>
        <w:tc>
          <w:tcPr>
            <w:tcW w:type="dxa" w:w="2268"/>
          </w:tcPr>
          <w:p>
            <w:r/>
            <w:r>
              <w:rPr>
                <w:sz w:val="17"/>
              </w:rPr>
              <w:t>SG-FID-01..04, SG-GOV-04, SG-GIA-03</w:t>
            </w:r>
          </w:p>
        </w:tc>
        <w:tc>
          <w:tcPr>
            <w:tcW w:type="dxa" w:w="1701"/>
          </w:tcPr>
          <w:p>
            <w:r/>
            <w:r>
              <w:rPr>
                <w:sz w:val="17"/>
              </w:rPr>
              <w:t>Direct equivalent (FIDReC ≈ Ombudsman)</w:t>
            </w:r>
          </w:p>
        </w:tc>
      </w:tr>
      <w:tr>
        <w:tc>
          <w:tcPr>
            <w:tcW w:type="dxa" w:w="2835"/>
          </w:tcPr>
          <w:p>
            <w:r/>
            <w:r>
              <w:rPr>
                <w:sz w:val="17"/>
              </w:rPr>
              <w:t>Standard definitions / standard exclusions</w:t>
            </w:r>
          </w:p>
        </w:tc>
        <w:tc>
          <w:tcPr>
            <w:tcW w:type="dxa" w:w="8504"/>
          </w:tcPr>
          <w:p>
            <w:r/>
            <w:r>
              <w:rPr>
                <w:sz w:val="17"/>
              </w:rPr>
              <w:t>Partial. LIA standard severe-stage definitions for 37 CIs (Version 2024) are mandatory for LIA/GIA members using those conditions. No standard list of exclusions for hospitalisation policies (specimen PS lists PEC, congenital, pregnancy). MediShield Life exclusions are statutory (Third Schedule).</w:t>
            </w:r>
          </w:p>
        </w:tc>
        <w:tc>
          <w:tcPr>
            <w:tcW w:type="dxa" w:w="2268"/>
          </w:tcPr>
          <w:p>
            <w:r/>
            <w:r>
              <w:rPr>
                <w:sz w:val="17"/>
              </w:rPr>
              <w:t>SG-LIA-01..04, SG-MSHL-06</w:t>
            </w:r>
          </w:p>
        </w:tc>
        <w:tc>
          <w:tcPr>
            <w:tcW w:type="dxa" w:w="1701"/>
          </w:tcPr>
          <w:p>
            <w:r/>
            <w:r>
              <w:rPr>
                <w:sz w:val="17"/>
              </w:rPr>
              <w:t>Partial</w:t>
            </w:r>
          </w:p>
        </w:tc>
      </w:tr>
      <w:tr>
        <w:tc>
          <w:tcPr>
            <w:tcW w:type="dxa" w:w="2835"/>
          </w:tcPr>
          <w:p>
            <w:r/>
            <w:r>
              <w:rPr>
                <w:sz w:val="17"/>
              </w:rPr>
              <w:t>Co-payment rules</w:t>
            </w:r>
          </w:p>
        </w:tc>
        <w:tc>
          <w:tcPr>
            <w:tcW w:type="dxa" w:w="8504"/>
          </w:tcPr>
          <w:p>
            <w:r/>
            <w:r>
              <w:rPr>
                <w:sz w:val="17"/>
              </w:rPr>
              <w:t>Singapore-specific and stricter. MOH requires ≥5% co-payment on IP riders (from 1 Apr 2019), co-payment cap ≥$3,000 (2018) and ≥$6,000 excl. deductible for riders sold from 1 Apr 2026, and riders may not cover the MOH minimum IP deductible from 1 Apr 2026.</w:t>
            </w:r>
          </w:p>
        </w:tc>
        <w:tc>
          <w:tcPr>
            <w:tcW w:type="dxa" w:w="2268"/>
          </w:tcPr>
          <w:p>
            <w:r/>
            <w:r>
              <w:rPr>
                <w:sz w:val="17"/>
              </w:rPr>
              <w:t>SG-RID-01..06</w:t>
            </w:r>
          </w:p>
        </w:tc>
        <w:tc>
          <w:tcPr>
            <w:tcW w:type="dxa" w:w="1701"/>
          </w:tcPr>
          <w:p>
            <w:r/>
            <w:r>
              <w:rPr>
                <w:sz w:val="17"/>
              </w:rPr>
              <w:t>Singapore-specific</w:t>
            </w:r>
          </w:p>
        </w:tc>
      </w:tr>
    </w:tbl>
    <w:p>
      <w:pPr>
        <w:pStyle w:val="Heading1"/>
      </w:pPr>
      <w:r>
        <w:t>7. Gaps and unverified items</w:t>
      </w:r>
    </w:p>
    <w:p>
      <w:pPr>
        <w:pStyle w:val="ListBullet"/>
      </w:pPr>
      <w:r>
        <w:rPr>
          <w:sz w:val="19"/>
        </w:rPr>
        <w:t>IP-level pro-ration factors: no MOH/MAS primary rule located; statement that insurers set their own factors rests only on insurer product documents (SG-IP-02).</w:t>
      </w:r>
    </w:p>
    <w:p>
      <w:pPr>
        <w:pStyle w:val="ListBullet"/>
      </w:pPr>
      <w:r>
        <w:rPr>
          <w:sz w:val="19"/>
        </w:rPr>
        <w:t>Whether the 2018 $3,000 rider co-payment cap was required to be conditional on panel/pre-authorised treatment: not confirmed from a 2018 primary MOH source (SG-RID-02). The 2026 rule's panel/pre-auth condition IS confirmed (MOH 26 Nov 2025, Annex A footnote).</w:t>
      </w:r>
    </w:p>
    <w:p>
      <w:pPr>
        <w:pStyle w:val="ListBullet"/>
      </w:pPr>
      <w:r>
        <w:rPr>
          <w:sz w:val="19"/>
        </w:rPr>
        <w:t>Second-phase MediShield Life inpatient deductible increase on 1 Apr 2027: date confirmed (MOH 15 Oct 2024), amounts not retrieved.</w:t>
      </w:r>
    </w:p>
    <w:p>
      <w:pPr>
        <w:pStyle w:val="ListBullet"/>
      </w:pPr>
      <w:r>
        <w:rPr>
          <w:sz w:val="19"/>
        </w:rPr>
        <w:t>MediShield Life pro-ration factors were read from the CPF Board web page; the Fourth Schedule of S 622/2015 and the Third Schedule (exclusions) were not read line-by-line on SSO.</w:t>
      </w:r>
    </w:p>
    <w:p>
      <w:pPr>
        <w:pStyle w:val="ListBullet"/>
      </w:pPr>
      <w:r>
        <w:rPr>
          <w:sz w:val="19"/>
        </w:rPr>
        <w:t>'MAS Notice 119' – no MAS notice by that number relevant to health insurance was found; the A&amp;H disclosure/advisory notice is MAS Notice 120.</w:t>
      </w:r>
    </w:p>
    <w:p>
      <w:pPr>
        <w:pStyle w:val="ListBullet"/>
      </w:pPr>
      <w:r>
        <w:rPr>
          <w:sz w:val="19"/>
        </w:rPr>
        <w:t>'Guidelines on Standards of Conduct for Insurance Intermediaries' – no MAS document with that exact title was found. Closest: Guidelines on Standards of Conduct for Financial Advisers and Representatives [FAA-G04] (title verified, content not reviewed).</w:t>
      </w:r>
    </w:p>
    <w:p>
      <w:pPr>
        <w:pStyle w:val="ListBullet"/>
      </w:pPr>
      <w:r>
        <w:rPr>
          <w:sz w:val="19"/>
        </w:rPr>
        <w:t>MAS Notice FAA-N03 and FAA-G04: titles verified on MAS website; contents not reviewed for this rulebook. FAA-N16 (recommendations) was not reviewed.</w:t>
      </w:r>
    </w:p>
    <w:p>
      <w:pPr>
        <w:pStyle w:val="ListBullet"/>
      </w:pPr>
      <w:r>
        <w:rPr>
          <w:sz w:val="19"/>
        </w:rPr>
        <w:t>No MAS- or LIA-prescribed claim settlement timeline for life insurers' health/IP claims was located; GIA Code timelines apply only to GIA members (general insurers).</w:t>
      </w:r>
    </w:p>
    <w:p>
      <w:pPr>
        <w:pStyle w:val="ListBullet"/>
      </w:pPr>
      <w:r>
        <w:rPr>
          <w:sz w:val="19"/>
        </w:rPr>
        <w:t>No primary source located on whether IP private components must be guaranteed renewable for life.</w:t>
      </w:r>
    </w:p>
    <w:p>
      <w:pPr>
        <w:pStyle w:val="ListBullet"/>
      </w:pPr>
      <w:r>
        <w:rPr>
          <w:sz w:val="19"/>
        </w:rPr>
        <w:t>Any mandatory PPF Scheme disclosure statement in policy documents (e.g., under PPF disclosure rules) was not verified; PPF caps were taken from the SDIC website, not the Act's schedules.</w:t>
      </w:r>
    </w:p>
    <w:p>
      <w:pPr>
        <w:pStyle w:val="ListBullet"/>
      </w:pPr>
      <w:r>
        <w:rPr>
          <w:sz w:val="19"/>
        </w:rPr>
        <w:t>LIA standard Pre-Authorisation Form (2022): existence seen on LIA website listing; document not opened.</w:t>
      </w:r>
    </w:p>
    <w:p>
      <w:pPr>
        <w:pStyle w:val="ListBullet"/>
      </w:pPr>
      <w:r>
        <w:rPr>
          <w:sz w:val="19"/>
        </w:rPr>
        <w:t>LIA CI definitions (Part 2 of 4, the 37 definition texts) were not reproduced; auditors should download MU 58/25 Part 2 to compare wording verbatim.</w:t>
      </w:r>
    </w:p>
    <w:p>
      <w:pPr>
        <w:pStyle w:val="ListBullet"/>
      </w:pPr>
      <w:r>
        <w:rPr>
          <w:sz w:val="19"/>
        </w:rPr>
        <w:t>MOM foreign worker medical insurance requirements (covered in LIA/GIA guidelines Appendix VI) were out of scope.</w:t>
      </w:r>
    </w:p>
    <w:p>
      <w:pPr>
        <w:pStyle w:val="ListBullet"/>
      </w:pPr>
      <w:r>
        <w:rPr>
          <w:sz w:val="19"/>
        </w:rPr>
        <w:t>IRDAI-side descriptions in the mapping table are topic labels only; they were not re-verified here against the IRDAI Master Circular (29 May 2024) or the 2020 proportionate-deduction circular. Use Jai's India rulebook for the IRDAI rule text.</w:t>
      </w:r>
    </w:p>
    <w:p>
      <w:pPr>
        <w:pStyle w:val="Heading1"/>
      </w:pPr>
      <w:r>
        <w:t>8. Source register</w:t>
      </w:r>
    </w:p>
    <w:tbl>
      <w:tblPr>
        <w:tblStyle w:val="TableGrid"/>
        <w:tblW w:type="auto" w:w="0"/>
        <w:tblLook w:firstColumn="1" w:firstRow="1" w:lastColumn="0" w:lastRow="0" w:noHBand="0" w:noVBand="1" w:val="04A0"/>
      </w:tblPr>
      <w:tblGrid>
        <w:gridCol w:w="2338"/>
        <w:gridCol w:w="2338"/>
        <w:gridCol w:w="2338"/>
        <w:gridCol w:w="2338"/>
        <w:gridCol w:w="2338"/>
        <w:gridCol w:w="2338"/>
      </w:tblGrid>
      <w:tr>
        <w:trPr>
          <w:tblHeader w:val="true"/>
        </w:trPr>
        <w:tc>
          <w:tcPr>
            <w:tcW w:type="dxa" w:w="907"/>
            <w:shd w:val="clear" w:color="auto" w:fill="1F3864"/>
          </w:tcPr>
          <w:p>
            <w:r/>
            <w:r>
              <w:rPr>
                <w:b/>
                <w:color w:val="FFFFFF"/>
                <w:sz w:val="15"/>
              </w:rPr>
              <w:t>Key</w:t>
            </w:r>
          </w:p>
        </w:tc>
        <w:tc>
          <w:tcPr>
            <w:tcW w:type="dxa" w:w="3969"/>
            <w:shd w:val="clear" w:color="auto" w:fill="1F3864"/>
          </w:tcPr>
          <w:p>
            <w:r/>
            <w:r>
              <w:rPr>
                <w:b/>
                <w:color w:val="FFFFFF"/>
                <w:sz w:val="15"/>
              </w:rPr>
              <w:t>Title</w:t>
            </w:r>
          </w:p>
        </w:tc>
        <w:tc>
          <w:tcPr>
            <w:tcW w:type="dxa" w:w="1984"/>
            <w:shd w:val="clear" w:color="auto" w:fill="1F3864"/>
          </w:tcPr>
          <w:p>
            <w:r/>
            <w:r>
              <w:rPr>
                <w:b/>
                <w:color w:val="FFFFFF"/>
                <w:sz w:val="15"/>
              </w:rPr>
              <w:t>Issuing body</w:t>
            </w:r>
          </w:p>
        </w:tc>
        <w:tc>
          <w:tcPr>
            <w:tcW w:type="dxa" w:w="1701"/>
            <w:shd w:val="clear" w:color="auto" w:fill="1F3864"/>
          </w:tcPr>
          <w:p>
            <w:r/>
            <w:r>
              <w:rPr>
                <w:b/>
                <w:color w:val="FFFFFF"/>
                <w:sz w:val="15"/>
              </w:rPr>
              <w:t>Doc no.</w:t>
            </w:r>
          </w:p>
        </w:tc>
        <w:tc>
          <w:tcPr>
            <w:tcW w:type="dxa" w:w="2551"/>
            <w:shd w:val="clear" w:color="auto" w:fill="1F3864"/>
          </w:tcPr>
          <w:p>
            <w:r/>
            <w:r>
              <w:rPr>
                <w:b/>
                <w:color w:val="FFFFFF"/>
                <w:sz w:val="15"/>
              </w:rPr>
              <w:t>Date / version</w:t>
            </w:r>
          </w:p>
        </w:tc>
        <w:tc>
          <w:tcPr>
            <w:tcW w:type="dxa" w:w="3969"/>
            <w:shd w:val="clear" w:color="auto" w:fill="1F3864"/>
          </w:tcPr>
          <w:p>
            <w:r/>
            <w:r>
              <w:rPr>
                <w:b/>
                <w:color w:val="FFFFFF"/>
                <w:sz w:val="15"/>
              </w:rPr>
              <w:t>URL</w:t>
            </w:r>
          </w:p>
        </w:tc>
      </w:tr>
      <w:tr>
        <w:tc>
          <w:tcPr>
            <w:tcW w:type="dxa" w:w="907"/>
          </w:tcPr>
          <w:p>
            <w:r/>
            <w:r>
              <w:rPr>
                <w:sz w:val="15"/>
              </w:rPr>
              <w:t>N120</w:t>
            </w:r>
          </w:p>
        </w:tc>
        <w:tc>
          <w:tcPr>
            <w:tcW w:type="dxa" w:w="3969"/>
          </w:tcPr>
          <w:p>
            <w:r/>
            <w:r>
              <w:rPr>
                <w:sz w:val="15"/>
              </w:rPr>
              <w:t>Notice on Disclosure and Advisory Process Requirements for Accident and Health Insurance Products</w:t>
            </w:r>
          </w:p>
        </w:tc>
        <w:tc>
          <w:tcPr>
            <w:tcW w:type="dxa" w:w="1984"/>
          </w:tcPr>
          <w:p>
            <w:r/>
            <w:r>
              <w:rPr>
                <w:sz w:val="15"/>
              </w:rPr>
              <w:t>MAS</w:t>
            </w:r>
          </w:p>
        </w:tc>
        <w:tc>
          <w:tcPr>
            <w:tcW w:type="dxa" w:w="1701"/>
          </w:tcPr>
          <w:p>
            <w:r/>
            <w:r>
              <w:rPr>
                <w:sz w:val="15"/>
              </w:rPr>
              <w:t>MAS Notice 120</w:t>
            </w:r>
          </w:p>
        </w:tc>
        <w:tc>
          <w:tcPr>
            <w:tcW w:type="dxa" w:w="2551"/>
          </w:tcPr>
          <w:p>
            <w:r/>
            <w:r>
              <w:rPr>
                <w:sz w:val="15"/>
              </w:rPr>
              <w:t>Issued 30 Jan 2004; last revised 1 Jun 2022 (MAS 120 (Amendment) 2022)</w:t>
            </w:r>
          </w:p>
        </w:tc>
        <w:tc>
          <w:tcPr>
            <w:tcW w:type="dxa" w:w="3969"/>
          </w:tcPr>
          <w:p>
            <w:r/>
            <w:r>
              <w:rPr>
                <w:sz w:val="15"/>
              </w:rPr>
              <w:t>https://www.mas.gov.sg/-/media/mas-media-library/regulation/notices/id/notice-120/310522-mas-120_revised-may-2022.pdf</w:t>
            </w:r>
          </w:p>
        </w:tc>
      </w:tr>
      <w:tr>
        <w:tc>
          <w:tcPr>
            <w:tcW w:type="dxa" w:w="907"/>
          </w:tcPr>
          <w:p>
            <w:r/>
            <w:r>
              <w:rPr>
                <w:sz w:val="15"/>
              </w:rPr>
              <w:t>N318</w:t>
            </w:r>
          </w:p>
        </w:tc>
        <w:tc>
          <w:tcPr>
            <w:tcW w:type="dxa" w:w="3969"/>
          </w:tcPr>
          <w:p>
            <w:r/>
            <w:r>
              <w:rPr>
                <w:sz w:val="15"/>
              </w:rPr>
              <w:t>Market Conduct Standards for Direct Life Insurer as a Product Provider</w:t>
            </w:r>
          </w:p>
        </w:tc>
        <w:tc>
          <w:tcPr>
            <w:tcW w:type="dxa" w:w="1984"/>
          </w:tcPr>
          <w:p>
            <w:r/>
            <w:r>
              <w:rPr>
                <w:sz w:val="15"/>
              </w:rPr>
              <w:t>MAS</w:t>
            </w:r>
          </w:p>
        </w:tc>
        <w:tc>
          <w:tcPr>
            <w:tcW w:type="dxa" w:w="1701"/>
          </w:tcPr>
          <w:p>
            <w:r/>
            <w:r>
              <w:rPr>
                <w:sz w:val="15"/>
              </w:rPr>
              <w:t>MAS Notice 318</w:t>
            </w:r>
          </w:p>
        </w:tc>
        <w:tc>
          <w:tcPr>
            <w:tcW w:type="dxa" w:w="2551"/>
          </w:tcPr>
          <w:p>
            <w:r/>
            <w:r>
              <w:rPr>
                <w:sz w:val="15"/>
              </w:rPr>
              <w:t>Issued 1 Oct 2002; last revised 29 Jun 2018 (effective 2 Jul 2018)</w:t>
            </w:r>
          </w:p>
        </w:tc>
        <w:tc>
          <w:tcPr>
            <w:tcW w:type="dxa" w:w="3969"/>
          </w:tcPr>
          <w:p>
            <w:r/>
            <w:r>
              <w:rPr>
                <w:sz w:val="15"/>
              </w:rPr>
              <w:t>https://www.mas.gov.sg/-/media/mas/notices/pdf/mas-notice-318-published-version-2018.pdf</w:t>
            </w:r>
          </w:p>
        </w:tc>
      </w:tr>
      <w:tr>
        <w:tc>
          <w:tcPr>
            <w:tcW w:type="dxa" w:w="907"/>
          </w:tcPr>
          <w:p>
            <w:r/>
            <w:r>
              <w:rPr>
                <w:sz w:val="15"/>
              </w:rPr>
              <w:t>FDG</w:t>
            </w:r>
          </w:p>
        </w:tc>
        <w:tc>
          <w:tcPr>
            <w:tcW w:type="dxa" w:w="3969"/>
          </w:tcPr>
          <w:p>
            <w:r/>
            <w:r>
              <w:rPr>
                <w:sz w:val="15"/>
              </w:rPr>
              <w:t>Guidelines on Fair Dealing – Board and Senior Management Responsibilities for Delivering Fair Dealing Outcomes to Customers</w:t>
            </w:r>
          </w:p>
        </w:tc>
        <w:tc>
          <w:tcPr>
            <w:tcW w:type="dxa" w:w="1984"/>
          </w:tcPr>
          <w:p>
            <w:r/>
            <w:r>
              <w:rPr>
                <w:sz w:val="15"/>
              </w:rPr>
              <w:t>MAS</w:t>
            </w:r>
          </w:p>
        </w:tc>
        <w:tc>
          <w:tcPr>
            <w:tcW w:type="dxa" w:w="1701"/>
          </w:tcPr>
          <w:p>
            <w:r/>
            <w:r>
              <w:rPr>
                <w:sz w:val="15"/>
              </w:rPr>
              <w:t>FSG-G04</w:t>
            </w:r>
          </w:p>
        </w:tc>
        <w:tc>
          <w:tcPr>
            <w:tcW w:type="dxa" w:w="2551"/>
          </w:tcPr>
          <w:p>
            <w:r/>
            <w:r>
              <w:rPr>
                <w:sz w:val="15"/>
              </w:rPr>
              <w:t>Issued 3 Apr 2009; last revised 30 May 2024</w:t>
            </w:r>
          </w:p>
        </w:tc>
        <w:tc>
          <w:tcPr>
            <w:tcW w:type="dxa" w:w="3969"/>
          </w:tcPr>
          <w:p>
            <w:r/>
            <w:r>
              <w:rPr>
                <w:sz w:val="15"/>
              </w:rPr>
              <w:t>https://www.mas.gov.sg/-/media/mas-media-library/fair-dealing-guidelines-30-may-2024.pdf</w:t>
            </w:r>
          </w:p>
        </w:tc>
      </w:tr>
      <w:tr>
        <w:tc>
          <w:tcPr>
            <w:tcW w:type="dxa" w:w="907"/>
          </w:tcPr>
          <w:p>
            <w:r/>
            <w:r>
              <w:rPr>
                <w:sz w:val="15"/>
              </w:rPr>
              <w:t>RMG</w:t>
            </w:r>
          </w:p>
        </w:tc>
        <w:tc>
          <w:tcPr>
            <w:tcW w:type="dxa" w:w="3969"/>
          </w:tcPr>
          <w:p>
            <w:r/>
            <w:r>
              <w:rPr>
                <w:sz w:val="15"/>
              </w:rPr>
              <w:t>Guidelines on Risk Management Practices for Insurance Business – Core Activities</w:t>
            </w:r>
          </w:p>
        </w:tc>
        <w:tc>
          <w:tcPr>
            <w:tcW w:type="dxa" w:w="1984"/>
          </w:tcPr>
          <w:p>
            <w:r/>
            <w:r>
              <w:rPr>
                <w:sz w:val="15"/>
              </w:rPr>
              <w:t>MAS</w:t>
            </w:r>
          </w:p>
        </w:tc>
        <w:tc>
          <w:tcPr>
            <w:tcW w:type="dxa" w:w="1701"/>
          </w:tcPr>
          <w:p>
            <w:r/>
            <w:r>
              <w:rPr>
                <w:sz w:val="15"/>
              </w:rPr>
              <w:t>(no notice number; MAS Guidelines)</w:t>
            </w:r>
          </w:p>
        </w:tc>
        <w:tc>
          <w:tcPr>
            <w:tcW w:type="dxa" w:w="2551"/>
          </w:tcPr>
          <w:p>
            <w:r/>
            <w:r>
              <w:rPr>
                <w:sz w:val="15"/>
              </w:rPr>
              <w:t>January 2024 (in effect from 10 Jan 2024)</w:t>
            </w:r>
          </w:p>
        </w:tc>
        <w:tc>
          <w:tcPr>
            <w:tcW w:type="dxa" w:w="3969"/>
          </w:tcPr>
          <w:p>
            <w:r/>
            <w:r>
              <w:rPr>
                <w:sz w:val="15"/>
              </w:rPr>
              <w:t>https://www.mas.gov.sg/-/media/mas-media-library/regulation/guidelines/id/guidelines-on-risk-management-practices-for-insurance-business---core-activities/guidelines-on-risk-management-practices-for-insurance-business---core-activities_10-jan-2024.pdf</w:t>
            </w:r>
          </w:p>
        </w:tc>
      </w:tr>
      <w:tr>
        <w:tc>
          <w:tcPr>
            <w:tcW w:type="dxa" w:w="907"/>
          </w:tcPr>
          <w:p>
            <w:r/>
            <w:r>
              <w:rPr>
                <w:sz w:val="15"/>
              </w:rPr>
              <w:t>LTAH</w:t>
            </w:r>
          </w:p>
        </w:tc>
        <w:tc>
          <w:tcPr>
            <w:tcW w:type="dxa" w:w="3969"/>
          </w:tcPr>
          <w:p>
            <w:r/>
            <w:r>
              <w:rPr>
                <w:sz w:val="15"/>
              </w:rPr>
              <w:t>Information Paper: Strengthening Advisory and Sales Processes for Long-Term Accident and Health Policies</w:t>
            </w:r>
          </w:p>
        </w:tc>
        <w:tc>
          <w:tcPr>
            <w:tcW w:type="dxa" w:w="1984"/>
          </w:tcPr>
          <w:p>
            <w:r/>
            <w:r>
              <w:rPr>
                <w:sz w:val="15"/>
              </w:rPr>
              <w:t>MAS</w:t>
            </w:r>
          </w:p>
        </w:tc>
        <w:tc>
          <w:tcPr>
            <w:tcW w:type="dxa" w:w="1701"/>
          </w:tcPr>
          <w:p>
            <w:r/>
            <w:r>
              <w:rPr>
                <w:sz w:val="15"/>
              </w:rPr>
              <w:t>(Information Paper)</w:t>
            </w:r>
          </w:p>
        </w:tc>
        <w:tc>
          <w:tcPr>
            <w:tcW w:type="dxa" w:w="2551"/>
          </w:tcPr>
          <w:p>
            <w:r/>
            <w:r>
              <w:rPr>
                <w:sz w:val="15"/>
              </w:rPr>
              <w:t>April 2025</w:t>
            </w:r>
          </w:p>
        </w:tc>
        <w:tc>
          <w:tcPr>
            <w:tcW w:type="dxa" w:w="3969"/>
          </w:tcPr>
          <w:p>
            <w:r/>
            <w:r>
              <w:rPr>
                <w:sz w:val="15"/>
              </w:rPr>
              <w:t>https://www.mas.gov.sg/-/media/mas/publications/information-papers/information-paper-on-strengthening-advisory-and-sales-processes-for-lt-ah-policies.pdf</w:t>
            </w:r>
          </w:p>
        </w:tc>
      </w:tr>
      <w:tr>
        <w:tc>
          <w:tcPr>
            <w:tcW w:type="dxa" w:w="907"/>
          </w:tcPr>
          <w:p>
            <w:r/>
            <w:r>
              <w:rPr>
                <w:sz w:val="15"/>
              </w:rPr>
              <w:t>FAAG04</w:t>
            </w:r>
          </w:p>
        </w:tc>
        <w:tc>
          <w:tcPr>
            <w:tcW w:type="dxa" w:w="3969"/>
          </w:tcPr>
          <w:p>
            <w:r/>
            <w:r>
              <w:rPr>
                <w:sz w:val="15"/>
              </w:rPr>
              <w:t>Guidelines on Standards of Conduct for Financial Advisers and Representatives</w:t>
            </w:r>
          </w:p>
        </w:tc>
        <w:tc>
          <w:tcPr>
            <w:tcW w:type="dxa" w:w="1984"/>
          </w:tcPr>
          <w:p>
            <w:r/>
            <w:r>
              <w:rPr>
                <w:sz w:val="15"/>
              </w:rPr>
              <w:t>MAS</w:t>
            </w:r>
          </w:p>
        </w:tc>
        <w:tc>
          <w:tcPr>
            <w:tcW w:type="dxa" w:w="1701"/>
          </w:tcPr>
          <w:p>
            <w:r/>
            <w:r>
              <w:rPr>
                <w:sz w:val="15"/>
              </w:rPr>
              <w:t>FAA-G04</w:t>
            </w:r>
          </w:p>
        </w:tc>
        <w:tc>
          <w:tcPr>
            <w:tcW w:type="dxa" w:w="2551"/>
          </w:tcPr>
          <w:p>
            <w:r/>
            <w:r>
              <w:rPr>
                <w:sz w:val="15"/>
              </w:rPr>
              <w:t>Title verified on MAS website; content not reviewed</w:t>
            </w:r>
          </w:p>
        </w:tc>
        <w:tc>
          <w:tcPr>
            <w:tcW w:type="dxa" w:w="3969"/>
          </w:tcPr>
          <w:p>
            <w:r/>
            <w:r>
              <w:rPr>
                <w:sz w:val="15"/>
              </w:rPr>
              <w:t>https://www.mas.gov.sg/regulation/guidelines/guidelines-on-standards-of-conduct-for-financial-advisers-and-representatives</w:t>
            </w:r>
          </w:p>
        </w:tc>
      </w:tr>
      <w:tr>
        <w:tc>
          <w:tcPr>
            <w:tcW w:type="dxa" w:w="907"/>
          </w:tcPr>
          <w:p>
            <w:r/>
            <w:r>
              <w:rPr>
                <w:sz w:val="15"/>
              </w:rPr>
              <w:t>FAAN03</w:t>
            </w:r>
          </w:p>
        </w:tc>
        <w:tc>
          <w:tcPr>
            <w:tcW w:type="dxa" w:w="3969"/>
          </w:tcPr>
          <w:p>
            <w:r/>
            <w:r>
              <w:rPr>
                <w:sz w:val="15"/>
              </w:rPr>
              <w:t>Notice on Information to Clients and Product Information Disclosure</w:t>
            </w:r>
          </w:p>
        </w:tc>
        <w:tc>
          <w:tcPr>
            <w:tcW w:type="dxa" w:w="1984"/>
          </w:tcPr>
          <w:p>
            <w:r/>
            <w:r>
              <w:rPr>
                <w:sz w:val="15"/>
              </w:rPr>
              <w:t>MAS</w:t>
            </w:r>
          </w:p>
        </w:tc>
        <w:tc>
          <w:tcPr>
            <w:tcW w:type="dxa" w:w="1701"/>
          </w:tcPr>
          <w:p>
            <w:r/>
            <w:r>
              <w:rPr>
                <w:sz w:val="15"/>
              </w:rPr>
              <w:t>FAA-N03</w:t>
            </w:r>
          </w:p>
        </w:tc>
        <w:tc>
          <w:tcPr>
            <w:tcW w:type="dxa" w:w="2551"/>
          </w:tcPr>
          <w:p>
            <w:r/>
            <w:r>
              <w:rPr>
                <w:sz w:val="15"/>
              </w:rPr>
              <w:t>Title verified on MAS website; content not reviewed</w:t>
            </w:r>
          </w:p>
        </w:tc>
        <w:tc>
          <w:tcPr>
            <w:tcW w:type="dxa" w:w="3969"/>
          </w:tcPr>
          <w:p>
            <w:r/>
            <w:r>
              <w:rPr>
                <w:sz w:val="15"/>
              </w:rPr>
              <w:t>https://www.mas.gov.sg/regulation/notices/notice-faa-n03</w:t>
            </w:r>
          </w:p>
        </w:tc>
      </w:tr>
      <w:tr>
        <w:tc>
          <w:tcPr>
            <w:tcW w:type="dxa" w:w="907"/>
          </w:tcPr>
          <w:p>
            <w:r/>
            <w:r>
              <w:rPr>
                <w:sz w:val="15"/>
              </w:rPr>
              <w:t>IA</w:t>
            </w:r>
          </w:p>
        </w:tc>
        <w:tc>
          <w:tcPr>
            <w:tcW w:type="dxa" w:w="3969"/>
          </w:tcPr>
          <w:p>
            <w:r/>
            <w:r>
              <w:rPr>
                <w:sz w:val="15"/>
              </w:rPr>
              <w:t>Insurance Act 1966 (2020 Revised Edition)</w:t>
            </w:r>
          </w:p>
        </w:tc>
        <w:tc>
          <w:tcPr>
            <w:tcW w:type="dxa" w:w="1984"/>
          </w:tcPr>
          <w:p>
            <w:r/>
            <w:r>
              <w:rPr>
                <w:sz w:val="15"/>
              </w:rPr>
              <w:t>Parliament of Singapore / AGC (SSO); administered by MAS</w:t>
            </w:r>
          </w:p>
        </w:tc>
        <w:tc>
          <w:tcPr>
            <w:tcW w:type="dxa" w:w="1701"/>
          </w:tcPr>
          <w:p>
            <w:r/>
            <w:r>
              <w:rPr>
                <w:sz w:val="15"/>
              </w:rPr>
              <w:t>Insurance Act 1966</w:t>
            </w:r>
          </w:p>
        </w:tc>
        <w:tc>
          <w:tcPr>
            <w:tcW w:type="dxa" w:w="2551"/>
          </w:tcPr>
          <w:p>
            <w:r/>
            <w:r>
              <w:rPr>
                <w:sz w:val="15"/>
              </w:rPr>
              <w:t>Current version as at 18 Oct 2026 (last amended by Act 5 of 2025, 9 Mar 2025)</w:t>
            </w:r>
          </w:p>
        </w:tc>
        <w:tc>
          <w:tcPr>
            <w:tcW w:type="dxa" w:w="3969"/>
          </w:tcPr>
          <w:p>
            <w:r/>
            <w:r>
              <w:rPr>
                <w:sz w:val="15"/>
              </w:rPr>
              <w:t>https://sso.agc.gov.sg/Act/IA1966</w:t>
            </w:r>
          </w:p>
        </w:tc>
      </w:tr>
      <w:tr>
        <w:tc>
          <w:tcPr>
            <w:tcW w:type="dxa" w:w="907"/>
          </w:tcPr>
          <w:p>
            <w:r/>
            <w:r>
              <w:rPr>
                <w:sz w:val="15"/>
              </w:rPr>
              <w:t>GPR</w:t>
            </w:r>
          </w:p>
        </w:tc>
        <w:tc>
          <w:tcPr>
            <w:tcW w:type="dxa" w:w="3969"/>
          </w:tcPr>
          <w:p>
            <w:r/>
            <w:r>
              <w:rPr>
                <w:sz w:val="15"/>
              </w:rPr>
              <w:t>Insurance (General Provisions) Regulations</w:t>
            </w:r>
          </w:p>
        </w:tc>
        <w:tc>
          <w:tcPr>
            <w:tcW w:type="dxa" w:w="1984"/>
          </w:tcPr>
          <w:p>
            <w:r/>
            <w:r>
              <w:rPr>
                <w:sz w:val="15"/>
              </w:rPr>
              <w:t>MAS (subsidiary legislation under Insurance Act)</w:t>
            </w:r>
          </w:p>
        </w:tc>
        <w:tc>
          <w:tcPr>
            <w:tcW w:type="dxa" w:w="1701"/>
          </w:tcPr>
          <w:p>
            <w:r/>
            <w:r>
              <w:rPr>
                <w:sz w:val="15"/>
              </w:rPr>
              <w:t>IA1966-RG17 (reg 8 as amended by S 613/2015)</w:t>
            </w:r>
          </w:p>
        </w:tc>
        <w:tc>
          <w:tcPr>
            <w:tcW w:type="dxa" w:w="2551"/>
          </w:tcPr>
          <w:p>
            <w:r/>
            <w:r>
              <w:rPr>
                <w:sz w:val="15"/>
              </w:rPr>
              <w:t>Reg 8(1) wef 30 Oct 2015</w:t>
            </w:r>
          </w:p>
        </w:tc>
        <w:tc>
          <w:tcPr>
            <w:tcW w:type="dxa" w:w="3969"/>
          </w:tcPr>
          <w:p>
            <w:r/>
            <w:r>
              <w:rPr>
                <w:sz w:val="15"/>
              </w:rPr>
              <w:t>https://sso.agc.gov.sg/SL/IA1966-RG17?ProvIds=pr8-</w:t>
            </w:r>
          </w:p>
        </w:tc>
      </w:tr>
      <w:tr>
        <w:tc>
          <w:tcPr>
            <w:tcW w:type="dxa" w:w="907"/>
          </w:tcPr>
          <w:p>
            <w:r/>
            <w:r>
              <w:rPr>
                <w:sz w:val="15"/>
              </w:rPr>
              <w:t>MSHLA</w:t>
            </w:r>
          </w:p>
        </w:tc>
        <w:tc>
          <w:tcPr>
            <w:tcW w:type="dxa" w:w="3969"/>
          </w:tcPr>
          <w:p>
            <w:r/>
            <w:r>
              <w:rPr>
                <w:sz w:val="15"/>
              </w:rPr>
              <w:t>MediShield Life Scheme Act 2015</w:t>
            </w:r>
          </w:p>
        </w:tc>
        <w:tc>
          <w:tcPr>
            <w:tcW w:type="dxa" w:w="1984"/>
          </w:tcPr>
          <w:p>
            <w:r/>
            <w:r>
              <w:rPr>
                <w:sz w:val="15"/>
              </w:rPr>
              <w:t>Parliament of Singapore / AGC (SSO); administered by MOH/CPF Board</w:t>
            </w:r>
          </w:p>
        </w:tc>
        <w:tc>
          <w:tcPr>
            <w:tcW w:type="dxa" w:w="1701"/>
          </w:tcPr>
          <w:p>
            <w:r/>
            <w:r>
              <w:rPr>
                <w:sz w:val="15"/>
              </w:rPr>
              <w:t>Act 4 of 2015</w:t>
            </w:r>
          </w:p>
        </w:tc>
        <w:tc>
          <w:tcPr>
            <w:tcW w:type="dxa" w:w="2551"/>
          </w:tcPr>
          <w:p>
            <w:r/>
            <w:r>
              <w:rPr>
                <w:sz w:val="15"/>
              </w:rPr>
              <w:t>Current version as at 18 Oct 2026 (last amended by Act 40 of 2024 wef 1 Apr 2025)</w:t>
            </w:r>
          </w:p>
        </w:tc>
        <w:tc>
          <w:tcPr>
            <w:tcW w:type="dxa" w:w="3969"/>
          </w:tcPr>
          <w:p>
            <w:r/>
            <w:r>
              <w:rPr>
                <w:sz w:val="15"/>
              </w:rPr>
              <w:t>https://sso.agc.gov.sg/Act/MLSA2015</w:t>
            </w:r>
          </w:p>
        </w:tc>
      </w:tr>
      <w:tr>
        <w:tc>
          <w:tcPr>
            <w:tcW w:type="dxa" w:w="907"/>
          </w:tcPr>
          <w:p>
            <w:r/>
            <w:r>
              <w:rPr>
                <w:sz w:val="15"/>
              </w:rPr>
              <w:t>MSHLR</w:t>
            </w:r>
          </w:p>
        </w:tc>
        <w:tc>
          <w:tcPr>
            <w:tcW w:type="dxa" w:w="3969"/>
          </w:tcPr>
          <w:p>
            <w:r/>
            <w:r>
              <w:rPr>
                <w:sz w:val="15"/>
              </w:rPr>
              <w:t>MediShield Life Scheme Regulations 2015</w:t>
            </w:r>
          </w:p>
        </w:tc>
        <w:tc>
          <w:tcPr>
            <w:tcW w:type="dxa" w:w="1984"/>
          </w:tcPr>
          <w:p>
            <w:r/>
            <w:r>
              <w:rPr>
                <w:sz w:val="15"/>
              </w:rPr>
              <w:t>Minister for Health (subsidiary legislation)</w:t>
            </w:r>
          </w:p>
        </w:tc>
        <w:tc>
          <w:tcPr>
            <w:tcW w:type="dxa" w:w="1701"/>
          </w:tcPr>
          <w:p>
            <w:r/>
            <w:r>
              <w:rPr>
                <w:sz w:val="15"/>
              </w:rPr>
              <w:t>S 622/2015</w:t>
            </w:r>
          </w:p>
        </w:tc>
        <w:tc>
          <w:tcPr>
            <w:tcW w:type="dxa" w:w="2551"/>
          </w:tcPr>
          <w:p>
            <w:r/>
            <w:r>
              <w:rPr>
                <w:sz w:val="15"/>
              </w:rPr>
              <w:t>Current version as at 18 Oct 2026 (amendments incl. S 231/2025, S 632/2025, S 323/2026, S 542/2026)</w:t>
            </w:r>
          </w:p>
        </w:tc>
        <w:tc>
          <w:tcPr>
            <w:tcW w:type="dxa" w:w="3969"/>
          </w:tcPr>
          <w:p>
            <w:r/>
            <w:r>
              <w:rPr>
                <w:sz w:val="15"/>
              </w:rPr>
              <w:t>https://sso.agc.gov.sg/SL/MLSA2015-S622-2015</w:t>
            </w:r>
          </w:p>
        </w:tc>
      </w:tr>
      <w:tr>
        <w:tc>
          <w:tcPr>
            <w:tcW w:type="dxa" w:w="907"/>
          </w:tcPr>
          <w:p>
            <w:r/>
            <w:r>
              <w:rPr>
                <w:sz w:val="15"/>
              </w:rPr>
              <w:t>PMIS</w:t>
            </w:r>
          </w:p>
        </w:tc>
        <w:tc>
          <w:tcPr>
            <w:tcW w:type="dxa" w:w="3969"/>
          </w:tcPr>
          <w:p>
            <w:r/>
            <w:r>
              <w:rPr>
                <w:sz w:val="15"/>
              </w:rPr>
              <w:t>MediShield Life Scheme (Private Medical Insurance Scheme) Regulations 2015</w:t>
            </w:r>
          </w:p>
        </w:tc>
        <w:tc>
          <w:tcPr>
            <w:tcW w:type="dxa" w:w="1984"/>
          </w:tcPr>
          <w:p>
            <w:r/>
            <w:r>
              <w:rPr>
                <w:sz w:val="15"/>
              </w:rPr>
              <w:t>Minister for Health (subsidiary legislation)</w:t>
            </w:r>
          </w:p>
        </w:tc>
        <w:tc>
          <w:tcPr>
            <w:tcW w:type="dxa" w:w="1701"/>
          </w:tcPr>
          <w:p>
            <w:r/>
            <w:r>
              <w:rPr>
                <w:sz w:val="15"/>
              </w:rPr>
              <w:t>S 623/2015</w:t>
            </w:r>
          </w:p>
        </w:tc>
        <w:tc>
          <w:tcPr>
            <w:tcW w:type="dxa" w:w="2551"/>
          </w:tcPr>
          <w:p>
            <w:r/>
            <w:r>
              <w:rPr>
                <w:sz w:val="15"/>
              </w:rPr>
              <w:t>In operation 1 Nov 2015; informal consolidation in force from 20 Sep 2021 (S 704/2021)</w:t>
            </w:r>
          </w:p>
        </w:tc>
        <w:tc>
          <w:tcPr>
            <w:tcW w:type="dxa" w:w="3969"/>
          </w:tcPr>
          <w:p>
            <w:r/>
            <w:r>
              <w:rPr>
                <w:sz w:val="15"/>
              </w:rPr>
              <w:t>https://sso.agc.gov.sg/SL/MLSA2015-S623-2015</w:t>
            </w:r>
          </w:p>
        </w:tc>
      </w:tr>
      <w:tr>
        <w:tc>
          <w:tcPr>
            <w:tcW w:type="dxa" w:w="907"/>
          </w:tcPr>
          <w:p>
            <w:r/>
            <w:r>
              <w:rPr>
                <w:sz w:val="15"/>
              </w:rPr>
              <w:t>FAA</w:t>
            </w:r>
          </w:p>
        </w:tc>
        <w:tc>
          <w:tcPr>
            <w:tcW w:type="dxa" w:w="3969"/>
          </w:tcPr>
          <w:p>
            <w:r/>
            <w:r>
              <w:rPr>
                <w:sz w:val="15"/>
              </w:rPr>
              <w:t>Financial Advisers Act 2001</w:t>
            </w:r>
          </w:p>
        </w:tc>
        <w:tc>
          <w:tcPr>
            <w:tcW w:type="dxa" w:w="1984"/>
          </w:tcPr>
          <w:p>
            <w:r/>
            <w:r>
              <w:rPr>
                <w:sz w:val="15"/>
              </w:rPr>
              <w:t>Parliament of Singapore / AGC (SSO); administered by MAS</w:t>
            </w:r>
          </w:p>
        </w:tc>
        <w:tc>
          <w:tcPr>
            <w:tcW w:type="dxa" w:w="1701"/>
          </w:tcPr>
          <w:p>
            <w:r/>
            <w:r>
              <w:rPr>
                <w:sz w:val="15"/>
              </w:rPr>
              <w:t>Financial Advisers Act 2001</w:t>
            </w:r>
          </w:p>
        </w:tc>
        <w:tc>
          <w:tcPr>
            <w:tcW w:type="dxa" w:w="2551"/>
          </w:tcPr>
          <w:p>
            <w:r/>
            <w:r>
              <w:rPr>
                <w:sz w:val="15"/>
              </w:rPr>
              <w:t>Current version as at 18 Oct 2026</w:t>
            </w:r>
          </w:p>
        </w:tc>
        <w:tc>
          <w:tcPr>
            <w:tcW w:type="dxa" w:w="3969"/>
          </w:tcPr>
          <w:p>
            <w:r/>
            <w:r>
              <w:rPr>
                <w:sz w:val="15"/>
              </w:rPr>
              <w:t>https://sso.agc.gov.sg/Act/FAA2001</w:t>
            </w:r>
          </w:p>
        </w:tc>
      </w:tr>
      <w:tr>
        <w:tc>
          <w:tcPr>
            <w:tcW w:type="dxa" w:w="907"/>
          </w:tcPr>
          <w:p>
            <w:r/>
            <w:r>
              <w:rPr>
                <w:sz w:val="15"/>
              </w:rPr>
              <w:t>DRS</w:t>
            </w:r>
          </w:p>
        </w:tc>
        <w:tc>
          <w:tcPr>
            <w:tcW w:type="dxa" w:w="3969"/>
          </w:tcPr>
          <w:p>
            <w:r/>
            <w:r>
              <w:rPr>
                <w:sz w:val="15"/>
              </w:rPr>
              <w:t>Financial Services and Markets (Dispute Resolution Schemes) Regulations 2023</w:t>
            </w:r>
          </w:p>
        </w:tc>
        <w:tc>
          <w:tcPr>
            <w:tcW w:type="dxa" w:w="1984"/>
          </w:tcPr>
          <w:p>
            <w:r/>
            <w:r>
              <w:rPr>
                <w:sz w:val="15"/>
              </w:rPr>
              <w:t>MAS (subsidiary legislation under FSMA 2022)</w:t>
            </w:r>
          </w:p>
        </w:tc>
        <w:tc>
          <w:tcPr>
            <w:tcW w:type="dxa" w:w="1701"/>
          </w:tcPr>
          <w:p>
            <w:r/>
            <w:r>
              <w:rPr>
                <w:sz w:val="15"/>
              </w:rPr>
              <w:t>S 232/2023</w:t>
            </w:r>
          </w:p>
        </w:tc>
        <w:tc>
          <w:tcPr>
            <w:tcW w:type="dxa" w:w="2551"/>
          </w:tcPr>
          <w:p>
            <w:r/>
            <w:r>
              <w:rPr>
                <w:sz w:val="15"/>
              </w:rPr>
              <w:t>28 Apr 2023</w:t>
            </w:r>
          </w:p>
        </w:tc>
        <w:tc>
          <w:tcPr>
            <w:tcW w:type="dxa" w:w="3969"/>
          </w:tcPr>
          <w:p>
            <w:r/>
            <w:r>
              <w:rPr>
                <w:sz w:val="15"/>
              </w:rPr>
              <w:t>https://sso.agc.gov.sg/SL/FSMA2022-S232-2023</w:t>
            </w:r>
          </w:p>
        </w:tc>
      </w:tr>
      <w:tr>
        <w:tc>
          <w:tcPr>
            <w:tcW w:type="dxa" w:w="907"/>
          </w:tcPr>
          <w:p>
            <w:r/>
            <w:r>
              <w:rPr>
                <w:sz w:val="15"/>
              </w:rPr>
              <w:t>DIPOPS</w:t>
            </w:r>
          </w:p>
        </w:tc>
        <w:tc>
          <w:tcPr>
            <w:tcW w:type="dxa" w:w="3969"/>
          </w:tcPr>
          <w:p>
            <w:r/>
            <w:r>
              <w:rPr>
                <w:sz w:val="15"/>
              </w:rPr>
              <w:t>Deposit Insurance and Policy Owners' Protection Schemes Act 2011</w:t>
            </w:r>
          </w:p>
        </w:tc>
        <w:tc>
          <w:tcPr>
            <w:tcW w:type="dxa" w:w="1984"/>
          </w:tcPr>
          <w:p>
            <w:r/>
            <w:r>
              <w:rPr>
                <w:sz w:val="15"/>
              </w:rPr>
              <w:t>Parliament of Singapore / AGC (SSO)</w:t>
            </w:r>
          </w:p>
        </w:tc>
        <w:tc>
          <w:tcPr>
            <w:tcW w:type="dxa" w:w="1701"/>
          </w:tcPr>
          <w:p>
            <w:r/>
            <w:r>
              <w:rPr>
                <w:sz w:val="15"/>
              </w:rPr>
              <w:t>Act 15 of 2011</w:t>
            </w:r>
          </w:p>
        </w:tc>
        <w:tc>
          <w:tcPr>
            <w:tcW w:type="dxa" w:w="2551"/>
          </w:tcPr>
          <w:p>
            <w:r/>
            <w:r>
              <w:rPr>
                <w:sz w:val="15"/>
              </w:rPr>
              <w:t>Current version as at 18 Oct 2026</w:t>
            </w:r>
          </w:p>
        </w:tc>
        <w:tc>
          <w:tcPr>
            <w:tcW w:type="dxa" w:w="3969"/>
          </w:tcPr>
          <w:p>
            <w:r/>
            <w:r>
              <w:rPr>
                <w:sz w:val="15"/>
              </w:rPr>
              <w:t>https://sso.agc.gov.sg/Act/DIPOPSA2011</w:t>
            </w:r>
          </w:p>
        </w:tc>
      </w:tr>
      <w:tr>
        <w:tc>
          <w:tcPr>
            <w:tcW w:type="dxa" w:w="907"/>
          </w:tcPr>
          <w:p>
            <w:r/>
            <w:r>
              <w:rPr>
                <w:sz w:val="15"/>
              </w:rPr>
              <w:t>MOH_RID25</w:t>
            </w:r>
          </w:p>
        </w:tc>
        <w:tc>
          <w:tcPr>
            <w:tcW w:type="dxa" w:w="3969"/>
          </w:tcPr>
          <w:p>
            <w:r/>
            <w:r>
              <w:rPr>
                <w:sz w:val="15"/>
              </w:rPr>
              <w:t>New Requirements for Integrated Shield Plan Riders to Strengthen Sustainability of Private Health Insurance and Address Rising Healthcare Costs (press release incl. Annex A)</w:t>
            </w:r>
          </w:p>
        </w:tc>
        <w:tc>
          <w:tcPr>
            <w:tcW w:type="dxa" w:w="1984"/>
          </w:tcPr>
          <w:p>
            <w:r/>
            <w:r>
              <w:rPr>
                <w:sz w:val="15"/>
              </w:rPr>
              <w:t>MOH</w:t>
            </w:r>
          </w:p>
        </w:tc>
        <w:tc>
          <w:tcPr>
            <w:tcW w:type="dxa" w:w="1701"/>
          </w:tcPr>
          <w:p>
            <w:r/>
            <w:r>
              <w:rPr>
                <w:sz w:val="15"/>
              </w:rPr>
              <w:t>(press release)</w:t>
            </w:r>
          </w:p>
        </w:tc>
        <w:tc>
          <w:tcPr>
            <w:tcW w:type="dxa" w:w="2551"/>
          </w:tcPr>
          <w:p>
            <w:r/>
            <w:r>
              <w:rPr>
                <w:sz w:val="15"/>
              </w:rPr>
              <w:t>26 Nov 2025</w:t>
            </w:r>
          </w:p>
        </w:tc>
        <w:tc>
          <w:tcPr>
            <w:tcW w:type="dxa" w:w="3969"/>
          </w:tcPr>
          <w:p>
            <w:r/>
            <w:r>
              <w:rPr>
                <w:sz w:val="15"/>
              </w:rPr>
              <w:t>https://www.moh.gov.sg/newsroom/new-requirements-for-integrated-shield-plan-riders-to-strengthen-sustainability-of-private-health-insurance-and-address-rising-healthcare-costs/</w:t>
            </w:r>
          </w:p>
        </w:tc>
      </w:tr>
      <w:tr>
        <w:tc>
          <w:tcPr>
            <w:tcW w:type="dxa" w:w="907"/>
          </w:tcPr>
          <w:p>
            <w:r/>
            <w:r>
              <w:rPr>
                <w:sz w:val="15"/>
              </w:rPr>
              <w:t>MOH_NEWRID</w:t>
            </w:r>
          </w:p>
        </w:tc>
        <w:tc>
          <w:tcPr>
            <w:tcW w:type="dxa" w:w="3969"/>
          </w:tcPr>
          <w:p>
            <w:r/>
            <w:r>
              <w:rPr>
                <w:sz w:val="15"/>
              </w:rPr>
              <w:t>New Integrated Shield Plan (IP) Riders</w:t>
            </w:r>
          </w:p>
        </w:tc>
        <w:tc>
          <w:tcPr>
            <w:tcW w:type="dxa" w:w="1984"/>
          </w:tcPr>
          <w:p>
            <w:r/>
            <w:r>
              <w:rPr>
                <w:sz w:val="15"/>
              </w:rPr>
              <w:t>MOH</w:t>
            </w:r>
          </w:p>
        </w:tc>
        <w:tc>
          <w:tcPr>
            <w:tcW w:type="dxa" w:w="1701"/>
          </w:tcPr>
          <w:p>
            <w:r/>
            <w:r>
              <w:rPr>
                <w:sz w:val="15"/>
              </w:rPr>
              <w:t>(web page)</w:t>
            </w:r>
          </w:p>
        </w:tc>
        <w:tc>
          <w:tcPr>
            <w:tcW w:type="dxa" w:w="2551"/>
          </w:tcPr>
          <w:p>
            <w:r/>
            <w:r>
              <w:rPr>
                <w:sz w:val="15"/>
              </w:rPr>
              <w:t>Last updated 4 May 2026</w:t>
            </w:r>
          </w:p>
        </w:tc>
        <w:tc>
          <w:tcPr>
            <w:tcW w:type="dxa" w:w="3969"/>
          </w:tcPr>
          <w:p>
            <w:r/>
            <w:r>
              <w:rPr>
                <w:sz w:val="15"/>
              </w:rPr>
              <w:t>https://www.moh.gov.sg/newipriders/</w:t>
            </w:r>
          </w:p>
        </w:tc>
      </w:tr>
      <w:tr>
        <w:tc>
          <w:tcPr>
            <w:tcW w:type="dxa" w:w="907"/>
          </w:tcPr>
          <w:p>
            <w:r/>
            <w:r>
              <w:rPr>
                <w:sz w:val="15"/>
              </w:rPr>
              <w:t>MOH_PQ21</w:t>
            </w:r>
          </w:p>
        </w:tc>
        <w:tc>
          <w:tcPr>
            <w:tcW w:type="dxa" w:w="3969"/>
          </w:tcPr>
          <w:p>
            <w:r/>
            <w:r>
              <w:rPr>
                <w:sz w:val="15"/>
              </w:rPr>
              <w:t>Co-payment in Integrated Shield Plans for Specific Hospital Categories and Breakdown of Average Claims Made Through Full Riders (Parliamentary written answer, PQ Nos. 510, 515, 516)</w:t>
            </w:r>
          </w:p>
        </w:tc>
        <w:tc>
          <w:tcPr>
            <w:tcW w:type="dxa" w:w="1984"/>
          </w:tcPr>
          <w:p>
            <w:r/>
            <w:r>
              <w:rPr>
                <w:sz w:val="15"/>
              </w:rPr>
              <w:t>MOH</w:t>
            </w:r>
          </w:p>
        </w:tc>
        <w:tc>
          <w:tcPr>
            <w:tcW w:type="dxa" w:w="1701"/>
          </w:tcPr>
          <w:p>
            <w:r/>
            <w:r>
              <w:rPr>
                <w:sz w:val="15"/>
              </w:rPr>
              <w:t>PQ Nos. 510, 515, 516</w:t>
            </w:r>
          </w:p>
        </w:tc>
        <w:tc>
          <w:tcPr>
            <w:tcW w:type="dxa" w:w="2551"/>
          </w:tcPr>
          <w:p>
            <w:r/>
            <w:r>
              <w:rPr>
                <w:sz w:val="15"/>
              </w:rPr>
              <w:t>26 Feb 2021</w:t>
            </w:r>
          </w:p>
        </w:tc>
        <w:tc>
          <w:tcPr>
            <w:tcW w:type="dxa" w:w="3969"/>
          </w:tcPr>
          <w:p>
            <w:r/>
            <w:r>
              <w:rPr>
                <w:sz w:val="15"/>
              </w:rPr>
              <w:t>https://www.moh.gov.sg/newsroom/co-payment-in-integrated-shield-plans-for-specific-hospital-categories-and-breakdown-of-average-claims-made-through-full-riders-of-integrated-shield-plans/</w:t>
            </w:r>
          </w:p>
        </w:tc>
      </w:tr>
      <w:tr>
        <w:tc>
          <w:tcPr>
            <w:tcW w:type="dxa" w:w="907"/>
          </w:tcPr>
          <w:p>
            <w:r/>
            <w:r>
              <w:rPr>
                <w:sz w:val="15"/>
              </w:rPr>
              <w:t>MOH_IP</w:t>
            </w:r>
          </w:p>
        </w:tc>
        <w:tc>
          <w:tcPr>
            <w:tcW w:type="dxa" w:w="3969"/>
          </w:tcPr>
          <w:p>
            <w:r/>
            <w:r>
              <w:rPr>
                <w:sz w:val="15"/>
              </w:rPr>
              <w:t>About Integrated Shield Plan</w:t>
            </w:r>
          </w:p>
        </w:tc>
        <w:tc>
          <w:tcPr>
            <w:tcW w:type="dxa" w:w="1984"/>
          </w:tcPr>
          <w:p>
            <w:r/>
            <w:r>
              <w:rPr>
                <w:sz w:val="15"/>
              </w:rPr>
              <w:t>MOH</w:t>
            </w:r>
          </w:p>
        </w:tc>
        <w:tc>
          <w:tcPr>
            <w:tcW w:type="dxa" w:w="1701"/>
          </w:tcPr>
          <w:p>
            <w:r/>
            <w:r>
              <w:rPr>
                <w:sz w:val="15"/>
              </w:rPr>
              <w:t>(web page)</w:t>
            </w:r>
          </w:p>
        </w:tc>
        <w:tc>
          <w:tcPr>
            <w:tcW w:type="dxa" w:w="2551"/>
          </w:tcPr>
          <w:p>
            <w:r/>
            <w:r>
              <w:rPr>
                <w:sz w:val="15"/>
              </w:rPr>
              <w:t>Last updated 30 Apr 2026</w:t>
            </w:r>
          </w:p>
        </w:tc>
        <w:tc>
          <w:tcPr>
            <w:tcW w:type="dxa" w:w="3969"/>
          </w:tcPr>
          <w:p>
            <w:r/>
            <w:r>
              <w:rPr>
                <w:sz w:val="15"/>
              </w:rPr>
              <w:t>https://www.moh.gov.sg/managing-expenses/schemes-and-subsidies/integrated-shield-plans/about-integrated-shield-plans/</w:t>
            </w:r>
          </w:p>
        </w:tc>
      </w:tr>
      <w:tr>
        <w:tc>
          <w:tcPr>
            <w:tcW w:type="dxa" w:w="907"/>
          </w:tcPr>
          <w:p>
            <w:r/>
            <w:r>
              <w:rPr>
                <w:sz w:val="15"/>
              </w:rPr>
              <w:t>MOH_CLAIM</w:t>
            </w:r>
          </w:p>
        </w:tc>
        <w:tc>
          <w:tcPr>
            <w:tcW w:type="dxa" w:w="3969"/>
          </w:tcPr>
          <w:p>
            <w:r/>
            <w:r>
              <w:rPr>
                <w:sz w:val="15"/>
              </w:rPr>
              <w:t>How to make a MediShield Life Claim</w:t>
            </w:r>
          </w:p>
        </w:tc>
        <w:tc>
          <w:tcPr>
            <w:tcW w:type="dxa" w:w="1984"/>
          </w:tcPr>
          <w:p>
            <w:r/>
            <w:r>
              <w:rPr>
                <w:sz w:val="15"/>
              </w:rPr>
              <w:t>MOH</w:t>
            </w:r>
          </w:p>
        </w:tc>
        <w:tc>
          <w:tcPr>
            <w:tcW w:type="dxa" w:w="1701"/>
          </w:tcPr>
          <w:p>
            <w:r/>
            <w:r>
              <w:rPr>
                <w:sz w:val="15"/>
              </w:rPr>
              <w:t>(web page; Tables I and J)</w:t>
            </w:r>
          </w:p>
        </w:tc>
        <w:tc>
          <w:tcPr>
            <w:tcW w:type="dxa" w:w="2551"/>
          </w:tcPr>
          <w:p>
            <w:r/>
            <w:r>
              <w:rPr>
                <w:sz w:val="15"/>
              </w:rPr>
              <w:t>Last updated 1 Jun 2026</w:t>
            </w:r>
          </w:p>
        </w:tc>
        <w:tc>
          <w:tcPr>
            <w:tcW w:type="dxa" w:w="3969"/>
          </w:tcPr>
          <w:p>
            <w:r/>
            <w:r>
              <w:rPr>
                <w:sz w:val="15"/>
              </w:rPr>
              <w:t>https://www.moh.gov.sg/managing-expenses/schemes-and-subsidies/medishield-life/how-to-make-a-medishield-life-claim/</w:t>
            </w:r>
          </w:p>
        </w:tc>
      </w:tr>
      <w:tr>
        <w:tc>
          <w:tcPr>
            <w:tcW w:type="dxa" w:w="907"/>
          </w:tcPr>
          <w:p>
            <w:r/>
            <w:r>
              <w:rPr>
                <w:sz w:val="15"/>
              </w:rPr>
              <w:t>MOH_BEN</w:t>
            </w:r>
          </w:p>
        </w:tc>
        <w:tc>
          <w:tcPr>
            <w:tcW w:type="dxa" w:w="3969"/>
          </w:tcPr>
          <w:p>
            <w:r/>
            <w:r>
              <w:rPr>
                <w:sz w:val="15"/>
              </w:rPr>
              <w:t>MediShield Life Benefits</w:t>
            </w:r>
          </w:p>
        </w:tc>
        <w:tc>
          <w:tcPr>
            <w:tcW w:type="dxa" w:w="1984"/>
          </w:tcPr>
          <w:p>
            <w:r/>
            <w:r>
              <w:rPr>
                <w:sz w:val="15"/>
              </w:rPr>
              <w:t>MOH</w:t>
            </w:r>
          </w:p>
        </w:tc>
        <w:tc>
          <w:tcPr>
            <w:tcW w:type="dxa" w:w="1701"/>
          </w:tcPr>
          <w:p>
            <w:r/>
            <w:r>
              <w:rPr>
                <w:sz w:val="15"/>
              </w:rPr>
              <w:t>(web page)</w:t>
            </w:r>
          </w:p>
        </w:tc>
        <w:tc>
          <w:tcPr>
            <w:tcW w:type="dxa" w:w="2551"/>
          </w:tcPr>
          <w:p>
            <w:r/>
            <w:r>
              <w:rPr>
                <w:sz w:val="15"/>
              </w:rPr>
              <w:t>Last updated 3 Jun 2026 (benefits for admissions/treatments on or after 1 Jun 2026)</w:t>
            </w:r>
          </w:p>
        </w:tc>
        <w:tc>
          <w:tcPr>
            <w:tcW w:type="dxa" w:w="3969"/>
          </w:tcPr>
          <w:p>
            <w:r/>
            <w:r>
              <w:rPr>
                <w:sz w:val="15"/>
              </w:rPr>
              <w:t>https://www.moh.gov.sg/managing-expenses/schemes-and-subsidies/medishield-life/medishield-life-benefits/</w:t>
            </w:r>
          </w:p>
        </w:tc>
      </w:tr>
      <w:tr>
        <w:tc>
          <w:tcPr>
            <w:tcW w:type="dxa" w:w="907"/>
          </w:tcPr>
          <w:p>
            <w:r/>
            <w:r>
              <w:rPr>
                <w:sz w:val="15"/>
              </w:rPr>
              <w:t>MOH_PEC</w:t>
            </w:r>
          </w:p>
        </w:tc>
        <w:tc>
          <w:tcPr>
            <w:tcW w:type="dxa" w:w="3969"/>
          </w:tcPr>
          <w:p>
            <w:r/>
            <w:r>
              <w:rPr>
                <w:sz w:val="15"/>
              </w:rPr>
              <w:t>Coverage for pre-existing conditions</w:t>
            </w:r>
          </w:p>
        </w:tc>
        <w:tc>
          <w:tcPr>
            <w:tcW w:type="dxa" w:w="1984"/>
          </w:tcPr>
          <w:p>
            <w:r/>
            <w:r>
              <w:rPr>
                <w:sz w:val="15"/>
              </w:rPr>
              <w:t>MOH</w:t>
            </w:r>
          </w:p>
        </w:tc>
        <w:tc>
          <w:tcPr>
            <w:tcW w:type="dxa" w:w="1701"/>
          </w:tcPr>
          <w:p>
            <w:r/>
            <w:r>
              <w:rPr>
                <w:sz w:val="15"/>
              </w:rPr>
              <w:t>(web page; Table 1)</w:t>
            </w:r>
          </w:p>
        </w:tc>
        <w:tc>
          <w:tcPr>
            <w:tcW w:type="dxa" w:w="2551"/>
          </w:tcPr>
          <w:p>
            <w:r/>
            <w:r>
              <w:rPr>
                <w:sz w:val="15"/>
              </w:rPr>
              <w:t>Last updated 26 Oct 2024</w:t>
            </w:r>
          </w:p>
        </w:tc>
        <w:tc>
          <w:tcPr>
            <w:tcW w:type="dxa" w:w="3969"/>
          </w:tcPr>
          <w:p>
            <w:r/>
            <w:r>
              <w:rPr>
                <w:sz w:val="15"/>
              </w:rPr>
              <w:t>https://www.moh.gov.sg/managing-expenses/schemes-and-subsidies/medishield-life/coverage-for-pre-existing-conditions/</w:t>
            </w:r>
          </w:p>
        </w:tc>
      </w:tr>
      <w:tr>
        <w:tc>
          <w:tcPr>
            <w:tcW w:type="dxa" w:w="907"/>
          </w:tcPr>
          <w:p>
            <w:r/>
            <w:r>
              <w:rPr>
                <w:sz w:val="15"/>
              </w:rPr>
              <w:t>MOH_MSHL24</w:t>
            </w:r>
          </w:p>
        </w:tc>
        <w:tc>
          <w:tcPr>
            <w:tcW w:type="dxa" w:w="3969"/>
          </w:tcPr>
          <w:p>
            <w:r/>
            <w:r>
              <w:rPr>
                <w:sz w:val="15"/>
              </w:rPr>
              <w:t>Government accepts MediShield Life Council's recommendations to enhance MediShield Life scheme (press release)</w:t>
            </w:r>
          </w:p>
        </w:tc>
        <w:tc>
          <w:tcPr>
            <w:tcW w:type="dxa" w:w="1984"/>
          </w:tcPr>
          <w:p>
            <w:r/>
            <w:r>
              <w:rPr>
                <w:sz w:val="15"/>
              </w:rPr>
              <w:t>MOH</w:t>
            </w:r>
          </w:p>
        </w:tc>
        <w:tc>
          <w:tcPr>
            <w:tcW w:type="dxa" w:w="1701"/>
          </w:tcPr>
          <w:p>
            <w:r/>
            <w:r>
              <w:rPr>
                <w:sz w:val="15"/>
              </w:rPr>
              <w:t>(press release)</w:t>
            </w:r>
          </w:p>
        </w:tc>
        <w:tc>
          <w:tcPr>
            <w:tcW w:type="dxa" w:w="2551"/>
          </w:tcPr>
          <w:p>
            <w:r/>
            <w:r>
              <w:rPr>
                <w:sz w:val="15"/>
              </w:rPr>
              <w:t>15 Oct 2024 (outpatient-deductible date later amended to 1 Jun 2026)</w:t>
            </w:r>
          </w:p>
        </w:tc>
        <w:tc>
          <w:tcPr>
            <w:tcW w:type="dxa" w:w="3969"/>
          </w:tcPr>
          <w:p>
            <w:r/>
            <w:r>
              <w:rPr>
                <w:sz w:val="15"/>
              </w:rPr>
              <w:t>https://www.moh.gov.sg/newsroom/government-accepts-medishield-life-council-s-recommendations-to-enhance-medishield-life-scheme---government-support-more-than-offsets-premium-increases/</w:t>
            </w:r>
          </w:p>
        </w:tc>
      </w:tr>
      <w:tr>
        <w:tc>
          <w:tcPr>
            <w:tcW w:type="dxa" w:w="907"/>
          </w:tcPr>
          <w:p>
            <w:r/>
            <w:r>
              <w:rPr>
                <w:sz w:val="15"/>
              </w:rPr>
              <w:t>MOH_CDL</w:t>
            </w:r>
          </w:p>
        </w:tc>
        <w:tc>
          <w:tcPr>
            <w:tcW w:type="dxa" w:w="3969"/>
          </w:tcPr>
          <w:p>
            <w:r/>
            <w:r>
              <w:rPr>
                <w:sz w:val="15"/>
              </w:rPr>
              <w:t>FAQs on cancer treatment financing</w:t>
            </w:r>
          </w:p>
        </w:tc>
        <w:tc>
          <w:tcPr>
            <w:tcW w:type="dxa" w:w="1984"/>
          </w:tcPr>
          <w:p>
            <w:r/>
            <w:r>
              <w:rPr>
                <w:sz w:val="15"/>
              </w:rPr>
              <w:t>MOH</w:t>
            </w:r>
          </w:p>
        </w:tc>
        <w:tc>
          <w:tcPr>
            <w:tcW w:type="dxa" w:w="1701"/>
          </w:tcPr>
          <w:p>
            <w:r/>
            <w:r>
              <w:rPr>
                <w:sz w:val="15"/>
              </w:rPr>
              <w:t>(web page)</w:t>
            </w:r>
          </w:p>
        </w:tc>
        <w:tc>
          <w:tcPr>
            <w:tcW w:type="dxa" w:w="2551"/>
          </w:tcPr>
          <w:p>
            <w:r/>
            <w:r>
              <w:rPr>
                <w:sz w:val="15"/>
              </w:rPr>
              <w:t>Last updated 19 Mar 2025</w:t>
            </w:r>
          </w:p>
        </w:tc>
        <w:tc>
          <w:tcPr>
            <w:tcW w:type="dxa" w:w="3969"/>
          </w:tcPr>
          <w:p>
            <w:r/>
            <w:r>
              <w:rPr>
                <w:sz w:val="15"/>
              </w:rPr>
              <w:t>https://www.moh.gov.sg/managing-expenses/schemes-and-subsidies/medishield-life/faqs-on-cancer-treatment-financing/</w:t>
            </w:r>
          </w:p>
        </w:tc>
      </w:tr>
      <w:tr>
        <w:tc>
          <w:tcPr>
            <w:tcW w:type="dxa" w:w="907"/>
          </w:tcPr>
          <w:p>
            <w:r/>
            <w:r>
              <w:rPr>
                <w:sz w:val="15"/>
              </w:rPr>
              <w:t>MOH_HITF</w:t>
            </w:r>
          </w:p>
        </w:tc>
        <w:tc>
          <w:tcPr>
            <w:tcW w:type="dxa" w:w="3969"/>
          </w:tcPr>
          <w:p>
            <w:r/>
            <w:r>
              <w:rPr>
                <w:sz w:val="15"/>
              </w:rPr>
              <w:t>The Ministry of Health's Response to Health Insurance Task Force Recommendations</w:t>
            </w:r>
          </w:p>
        </w:tc>
        <w:tc>
          <w:tcPr>
            <w:tcW w:type="dxa" w:w="1984"/>
          </w:tcPr>
          <w:p>
            <w:r/>
            <w:r>
              <w:rPr>
                <w:sz w:val="15"/>
              </w:rPr>
              <w:t>MOH</w:t>
            </w:r>
          </w:p>
        </w:tc>
        <w:tc>
          <w:tcPr>
            <w:tcW w:type="dxa" w:w="1701"/>
          </w:tcPr>
          <w:p>
            <w:r/>
            <w:r>
              <w:rPr>
                <w:sz w:val="15"/>
              </w:rPr>
              <w:t>(press release)</w:t>
            </w:r>
          </w:p>
        </w:tc>
        <w:tc>
          <w:tcPr>
            <w:tcW w:type="dxa" w:w="2551"/>
          </w:tcPr>
          <w:p>
            <w:r/>
            <w:r>
              <w:rPr>
                <w:sz w:val="15"/>
              </w:rPr>
              <w:t>13 Oct 2016</w:t>
            </w:r>
          </w:p>
        </w:tc>
        <w:tc>
          <w:tcPr>
            <w:tcW w:type="dxa" w:w="3969"/>
          </w:tcPr>
          <w:p>
            <w:r/>
            <w:r>
              <w:rPr>
                <w:sz w:val="15"/>
              </w:rPr>
              <w:t>https://www.moh.gov.sg/newsroom/the-ministry-of-health-s-response-to-health-insurance-task-force-recommendations/</w:t>
            </w:r>
          </w:p>
        </w:tc>
      </w:tr>
      <w:tr>
        <w:tc>
          <w:tcPr>
            <w:tcW w:type="dxa" w:w="907"/>
          </w:tcPr>
          <w:p>
            <w:r/>
            <w:r>
              <w:rPr>
                <w:sz w:val="15"/>
              </w:rPr>
              <w:t>CPF_PRO</w:t>
            </w:r>
          </w:p>
        </w:tc>
        <w:tc>
          <w:tcPr>
            <w:tcW w:type="dxa" w:w="3969"/>
          </w:tcPr>
          <w:p>
            <w:r/>
            <w:r>
              <w:rPr>
                <w:sz w:val="15"/>
              </w:rPr>
              <w:t>MediShield Life pro-ration factor</w:t>
            </w:r>
          </w:p>
        </w:tc>
        <w:tc>
          <w:tcPr>
            <w:tcW w:type="dxa" w:w="1984"/>
          </w:tcPr>
          <w:p>
            <w:r/>
            <w:r>
              <w:rPr>
                <w:sz w:val="15"/>
              </w:rPr>
              <w:t>CPF Board</w:t>
            </w:r>
          </w:p>
        </w:tc>
        <w:tc>
          <w:tcPr>
            <w:tcW w:type="dxa" w:w="1701"/>
          </w:tcPr>
          <w:p>
            <w:r/>
            <w:r>
              <w:rPr>
                <w:sz w:val="15"/>
              </w:rPr>
              <w:t>(web page)</w:t>
            </w:r>
          </w:p>
        </w:tc>
        <w:tc>
          <w:tcPr>
            <w:tcW w:type="dxa" w:w="2551"/>
          </w:tcPr>
          <w:p>
            <w:r/>
            <w:r>
              <w:rPr>
                <w:sz w:val="15"/>
              </w:rPr>
              <w:t>Accessed 18 Oct 2026 (page undated)</w:t>
            </w:r>
          </w:p>
        </w:tc>
        <w:tc>
          <w:tcPr>
            <w:tcW w:type="dxa" w:w="3969"/>
          </w:tcPr>
          <w:p>
            <w:r/>
            <w:r>
              <w:rPr>
                <w:sz w:val="15"/>
              </w:rPr>
              <w:t>https://www.cpf.gov.sg/member/healthcare-financing/medishield-life/medishield-life-proration</w:t>
            </w:r>
          </w:p>
        </w:tc>
      </w:tr>
      <w:tr>
        <w:tc>
          <w:tcPr>
            <w:tcW w:type="dxa" w:w="907"/>
          </w:tcPr>
          <w:p>
            <w:r/>
            <w:r>
              <w:rPr>
                <w:sz w:val="15"/>
              </w:rPr>
              <w:t>LIAGIA</w:t>
            </w:r>
          </w:p>
        </w:tc>
        <w:tc>
          <w:tcPr>
            <w:tcW w:type="dxa" w:w="3969"/>
          </w:tcPr>
          <w:p>
            <w:r/>
            <w:r>
              <w:rPr>
                <w:sz w:val="15"/>
              </w:rPr>
              <w:t>LIA &amp; GIA Guidelines – Disclosure Requirements for Accident &amp; Health (A&amp;H) Insurance Products</w:t>
            </w:r>
          </w:p>
        </w:tc>
        <w:tc>
          <w:tcPr>
            <w:tcW w:type="dxa" w:w="1984"/>
          </w:tcPr>
          <w:p>
            <w:r/>
            <w:r>
              <w:rPr>
                <w:sz w:val="15"/>
              </w:rPr>
              <w:t>LIA and GIA</w:t>
            </w:r>
          </w:p>
        </w:tc>
        <w:tc>
          <w:tcPr>
            <w:tcW w:type="dxa" w:w="1701"/>
          </w:tcPr>
          <w:p>
            <w:r/>
            <w:r>
              <w:rPr>
                <w:sz w:val="15"/>
              </w:rPr>
              <w:t>(industry guidelines)</w:t>
            </w:r>
          </w:p>
        </w:tc>
        <w:tc>
          <w:tcPr>
            <w:tcW w:type="dxa" w:w="2551"/>
          </w:tcPr>
          <w:p>
            <w:r/>
            <w:r>
              <w:rPr>
                <w:sz w:val="15"/>
              </w:rPr>
              <w:t>November 2025</w:t>
            </w:r>
          </w:p>
        </w:tc>
        <w:tc>
          <w:tcPr>
            <w:tcW w:type="dxa" w:w="3969"/>
          </w:tcPr>
          <w:p>
            <w:r/>
            <w:r>
              <w:rPr>
                <w:sz w:val="15"/>
              </w:rPr>
              <w:t>https://gia.org.sg/images/resources/For-Members/LIA-GIA-AH-Guidelines---Nov-2025.pdf</w:t>
            </w:r>
          </w:p>
        </w:tc>
      </w:tr>
      <w:tr>
        <w:tc>
          <w:tcPr>
            <w:tcW w:type="dxa" w:w="907"/>
          </w:tcPr>
          <w:p>
            <w:r/>
            <w:r>
              <w:rPr>
                <w:sz w:val="15"/>
              </w:rPr>
              <w:t>LIACI</w:t>
            </w:r>
          </w:p>
        </w:tc>
        <w:tc>
          <w:tcPr>
            <w:tcW w:type="dxa" w:w="3969"/>
          </w:tcPr>
          <w:p>
            <w:r/>
            <w:r>
              <w:rPr>
                <w:sz w:val="15"/>
              </w:rPr>
              <w:t>LIA Critical Illness (CI) Framework 2024 (Part 1 of 4)</w:t>
            </w:r>
          </w:p>
        </w:tc>
        <w:tc>
          <w:tcPr>
            <w:tcW w:type="dxa" w:w="1984"/>
          </w:tcPr>
          <w:p>
            <w:r/>
            <w:r>
              <w:rPr>
                <w:sz w:val="15"/>
              </w:rPr>
              <w:t>LIA</w:t>
            </w:r>
          </w:p>
        </w:tc>
        <w:tc>
          <w:tcPr>
            <w:tcW w:type="dxa" w:w="1701"/>
          </w:tcPr>
          <w:p>
            <w:r/>
            <w:r>
              <w:rPr>
                <w:sz w:val="15"/>
              </w:rPr>
              <w:t>LIA MU 58/25</w:t>
            </w:r>
          </w:p>
        </w:tc>
        <w:tc>
          <w:tcPr>
            <w:tcW w:type="dxa" w:w="2551"/>
          </w:tcPr>
          <w:p>
            <w:r/>
            <w:r>
              <w:rPr>
                <w:sz w:val="15"/>
              </w:rPr>
              <w:t>13 May 2025</w:t>
            </w:r>
          </w:p>
        </w:tc>
        <w:tc>
          <w:tcPr>
            <w:tcW w:type="dxa" w:w="3969"/>
          </w:tcPr>
          <w:p>
            <w:r/>
            <w:r>
              <w:rPr>
                <w:sz w:val="15"/>
              </w:rPr>
              <w:t>https://www.lia.org.sg/media/4549/lia-ci-framework-2024-part-1-of-4.pdf</w:t>
            </w:r>
          </w:p>
        </w:tc>
      </w:tr>
      <w:tr>
        <w:tc>
          <w:tcPr>
            <w:tcW w:type="dxa" w:w="907"/>
          </w:tcPr>
          <w:p>
            <w:r/>
            <w:r>
              <w:rPr>
                <w:sz w:val="15"/>
              </w:rPr>
              <w:t>LIAPA</w:t>
            </w:r>
          </w:p>
        </w:tc>
        <w:tc>
          <w:tcPr>
            <w:tcW w:type="dxa" w:w="3969"/>
          </w:tcPr>
          <w:p>
            <w:r/>
            <w:r>
              <w:rPr>
                <w:sz w:val="15"/>
              </w:rPr>
              <w:t>Integrated Shield Plans – Good Practices on Pre-Authorisation Framework/Process</w:t>
            </w:r>
          </w:p>
        </w:tc>
        <w:tc>
          <w:tcPr>
            <w:tcW w:type="dxa" w:w="1984"/>
          </w:tcPr>
          <w:p>
            <w:r/>
            <w:r>
              <w:rPr>
                <w:sz w:val="15"/>
              </w:rPr>
              <w:t>LIA</w:t>
            </w:r>
          </w:p>
        </w:tc>
        <w:tc>
          <w:tcPr>
            <w:tcW w:type="dxa" w:w="1701"/>
          </w:tcPr>
          <w:p>
            <w:r/>
            <w:r>
              <w:rPr>
                <w:sz w:val="15"/>
              </w:rPr>
              <w:t>(industry good practices)</w:t>
            </w:r>
          </w:p>
        </w:tc>
        <w:tc>
          <w:tcPr>
            <w:tcW w:type="dxa" w:w="2551"/>
          </w:tcPr>
          <w:p>
            <w:r/>
            <w:r>
              <w:rPr>
                <w:sz w:val="15"/>
              </w:rPr>
              <w:t>8 Jan 2018</w:t>
            </w:r>
          </w:p>
        </w:tc>
        <w:tc>
          <w:tcPr>
            <w:tcW w:type="dxa" w:w="3969"/>
          </w:tcPr>
          <w:p>
            <w:r/>
            <w:r>
              <w:rPr>
                <w:sz w:val="15"/>
              </w:rPr>
              <w:t>https://www.lia.org.sg/media/1457/good-practices-on-pre-authorisation-20180108.pdf</w:t>
            </w:r>
          </w:p>
        </w:tc>
      </w:tr>
      <w:tr>
        <w:tc>
          <w:tcPr>
            <w:tcW w:type="dxa" w:w="907"/>
          </w:tcPr>
          <w:p>
            <w:r/>
            <w:r>
              <w:rPr>
                <w:sz w:val="15"/>
              </w:rPr>
              <w:t>GIACOP</w:t>
            </w:r>
          </w:p>
        </w:tc>
        <w:tc>
          <w:tcPr>
            <w:tcW w:type="dxa" w:w="3969"/>
          </w:tcPr>
          <w:p>
            <w:r/>
            <w:r>
              <w:rPr>
                <w:sz w:val="15"/>
              </w:rPr>
              <w:t>The Singapore General Insurance Code of Practice (Revised Copy)</w:t>
            </w:r>
          </w:p>
        </w:tc>
        <w:tc>
          <w:tcPr>
            <w:tcW w:type="dxa" w:w="1984"/>
          </w:tcPr>
          <w:p>
            <w:r/>
            <w:r>
              <w:rPr>
                <w:sz w:val="15"/>
              </w:rPr>
              <w:t>GIA</w:t>
            </w:r>
          </w:p>
        </w:tc>
        <w:tc>
          <w:tcPr>
            <w:tcW w:type="dxa" w:w="1701"/>
          </w:tcPr>
          <w:p>
            <w:r/>
            <w:r>
              <w:rPr>
                <w:sz w:val="15"/>
              </w:rPr>
              <w:t>(industry code)</w:t>
            </w:r>
          </w:p>
        </w:tc>
        <w:tc>
          <w:tcPr>
            <w:tcW w:type="dxa" w:w="2551"/>
          </w:tcPr>
          <w:p>
            <w:r/>
            <w:r>
              <w:rPr>
                <w:sz w:val="15"/>
              </w:rPr>
              <w:t>25 Oct 2022</w:t>
            </w:r>
          </w:p>
        </w:tc>
        <w:tc>
          <w:tcPr>
            <w:tcW w:type="dxa" w:w="3969"/>
          </w:tcPr>
          <w:p>
            <w:r/>
            <w:r>
              <w:rPr>
                <w:sz w:val="15"/>
              </w:rPr>
              <w:t>https://gia.org.sg/images/resources/For-Members/code_of_practice.pdf</w:t>
            </w:r>
          </w:p>
        </w:tc>
      </w:tr>
      <w:tr>
        <w:tc>
          <w:tcPr>
            <w:tcW w:type="dxa" w:w="907"/>
          </w:tcPr>
          <w:p>
            <w:r/>
            <w:r>
              <w:rPr>
                <w:sz w:val="15"/>
              </w:rPr>
              <w:t>FIDTOR</w:t>
            </w:r>
          </w:p>
        </w:tc>
        <w:tc>
          <w:tcPr>
            <w:tcW w:type="dxa" w:w="3969"/>
          </w:tcPr>
          <w:p>
            <w:r/>
            <w:r>
              <w:rPr>
                <w:sz w:val="15"/>
              </w:rPr>
              <w:t>FIDReC Terms of Reference v2.2</w:t>
            </w:r>
          </w:p>
        </w:tc>
        <w:tc>
          <w:tcPr>
            <w:tcW w:type="dxa" w:w="1984"/>
          </w:tcPr>
          <w:p>
            <w:r/>
            <w:r>
              <w:rPr>
                <w:sz w:val="15"/>
              </w:rPr>
              <w:t>FIDReC</w:t>
            </w:r>
          </w:p>
        </w:tc>
        <w:tc>
          <w:tcPr>
            <w:tcW w:type="dxa" w:w="1701"/>
          </w:tcPr>
          <w:p>
            <w:r/>
            <w:r>
              <w:rPr>
                <w:sz w:val="15"/>
              </w:rPr>
              <w:t>Terms of Reference v2.2</w:t>
            </w:r>
          </w:p>
        </w:tc>
        <w:tc>
          <w:tcPr>
            <w:tcW w:type="dxa" w:w="2551"/>
          </w:tcPr>
          <w:p>
            <w:r/>
            <w:r>
              <w:rPr>
                <w:sz w:val="15"/>
              </w:rPr>
              <w:t>1 Jul 2025</w:t>
            </w:r>
          </w:p>
        </w:tc>
        <w:tc>
          <w:tcPr>
            <w:tcW w:type="dxa" w:w="3969"/>
          </w:tcPr>
          <w:p>
            <w:r/>
            <w:r>
              <w:rPr>
                <w:sz w:val="15"/>
              </w:rPr>
              <w:t>https://fidrec.powerappsportals.com/_entity/annotation/0587d98d-6e55-f011-bec2-0022485a9df8</w:t>
            </w:r>
          </w:p>
        </w:tc>
      </w:tr>
      <w:tr>
        <w:tc>
          <w:tcPr>
            <w:tcW w:type="dxa" w:w="907"/>
          </w:tcPr>
          <w:p>
            <w:r/>
            <w:r>
              <w:rPr>
                <w:sz w:val="15"/>
              </w:rPr>
              <w:t>SDIC</w:t>
            </w:r>
          </w:p>
        </w:tc>
        <w:tc>
          <w:tcPr>
            <w:tcW w:type="dxa" w:w="3969"/>
          </w:tcPr>
          <w:p>
            <w:r/>
            <w:r>
              <w:rPr>
                <w:sz w:val="15"/>
              </w:rPr>
              <w:t>Policy Owners' Protection Scheme – PPF Entitlement</w:t>
            </w:r>
          </w:p>
        </w:tc>
        <w:tc>
          <w:tcPr>
            <w:tcW w:type="dxa" w:w="1984"/>
          </w:tcPr>
          <w:p>
            <w:r/>
            <w:r>
              <w:rPr>
                <w:sz w:val="15"/>
              </w:rPr>
              <w:t>SDIC</w:t>
            </w:r>
          </w:p>
        </w:tc>
        <w:tc>
          <w:tcPr>
            <w:tcW w:type="dxa" w:w="1701"/>
          </w:tcPr>
          <w:p>
            <w:r/>
            <w:r>
              <w:rPr>
                <w:sz w:val="15"/>
              </w:rPr>
              <w:t>(web page)</w:t>
            </w:r>
          </w:p>
        </w:tc>
        <w:tc>
          <w:tcPr>
            <w:tcW w:type="dxa" w:w="2551"/>
          </w:tcPr>
          <w:p>
            <w:r/>
            <w:r>
              <w:rPr>
                <w:sz w:val="15"/>
              </w:rPr>
              <w:t>Accessed 18 Oct 2026 (page undated)</w:t>
            </w:r>
          </w:p>
        </w:tc>
        <w:tc>
          <w:tcPr>
            <w:tcW w:type="dxa" w:w="3969"/>
          </w:tcPr>
          <w:p>
            <w:r/>
            <w:r>
              <w:rPr>
                <w:sz w:val="15"/>
              </w:rPr>
              <w:t>https://sdic.org.sg/pp_entitlement/</w:t>
            </w:r>
          </w:p>
        </w:tc>
      </w:tr>
    </w:tbl>
    <w:p>
      <w:r>
        <w:rPr>
          <w:b w:val="0"/>
          <w:i/>
          <w:sz w:val="16"/>
        </w:rPr>
        <w:t>All URLs were accessed on 18 Oct 2026. SSO pages show the "current version as at 18 Oct 2026". MAS PDFs were downloaded directly from mas.gov.sg.</w:t>
      </w:r>
    </w:p>
    <w:sectPr w:rsidR="00FC693F" w:rsidRPr="0006063C" w:rsidSect="00034616">
      <w:footerReference w:type="default" r:id="rId9"/>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Singapore Health Insurance Regulatory Rulebook – compiled 18 Oct 2026 – for wording audits;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